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eastAsia="zh-CN"/>
        </w:rPr>
        <w:t>三</w:t>
      </w:r>
      <w:r>
        <w:rPr>
          <w:rFonts w:hint="eastAsia" w:ascii="宋体" w:hAnsi="宋体" w:cs="宋体"/>
          <w:b/>
          <w:bCs/>
          <w:sz w:val="36"/>
          <w:szCs w:val="36"/>
          <w:lang w:val="en-US" w:eastAsia="zh-CN"/>
        </w:rPr>
        <w:t>)</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第三</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kern w:val="2"/>
          <w:sz w:val="32"/>
          <w:szCs w:val="32"/>
          <w:lang w:val="en-US" w:eastAsia="zh-CN" w:bidi="ar-SA"/>
        </w:rPr>
        <w:t xml:space="preserve">   </w:t>
      </w:r>
      <w:r>
        <w:rPr>
          <w:rFonts w:hint="eastAsia" w:ascii="仿宋_GB2312" w:hAnsi="仿宋_GB2312" w:eastAsia="仿宋_GB2312" w:cs="仿宋_GB2312"/>
          <w:b w:val="0"/>
          <w:bCs w:val="0"/>
          <w:sz w:val="34"/>
          <w:szCs w:val="34"/>
        </w:rPr>
        <w:t>一些地方编制“十四五”规划时降低标准，放松绿色生态类指标要求。国家及吉林省“十四五”规划均设定了5个绿色生态类指标，且全是约束性指标。但督察发现，吉林市昌邑区、通化市柳河县等15个县（市、区）设定的指标体系，未包含能耗和二氧化碳排放降低两项指标。长春市九台区、白城市通榆县等18个县（市、区）设定的指标体系，未包含环境空气质量优良天数或地表水优良水体比例。长春市2020年地表水优良水体比例已达到66.7%，却将2025年目标设定为31.25%，大幅降低标准、放松要求。</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ageBreakBefore w:val="0"/>
        <w:kinsoku/>
        <w:wordWrap/>
        <w:overflowPunct/>
        <w:topLinePunct w:val="0"/>
        <w:autoSpaceDE/>
        <w:autoSpaceDN/>
        <w:bidi w:val="0"/>
        <w:spacing w:line="576" w:lineRule="exact"/>
        <w:ind w:firstLine="680" w:firstLineChars="200"/>
        <w:rPr>
          <w:rFonts w:hint="eastAsia" w:ascii="仿宋_GB2312" w:hAnsi="仿宋_GB2312" w:eastAsia="仿宋_GB2312" w:cs="仿宋_GB2312"/>
          <w:b w:val="0"/>
          <w:bCs w:val="0"/>
          <w:color w:val="auto"/>
          <w:sz w:val="34"/>
          <w:szCs w:val="34"/>
          <w:highlight w:val="none"/>
          <w:shd w:val="clear" w:color="050000" w:fill="auto"/>
        </w:rPr>
      </w:pPr>
      <w:r>
        <w:rPr>
          <w:rFonts w:hint="eastAsia" w:ascii="仿宋_GB2312" w:hAnsi="仿宋_GB2312" w:eastAsia="仿宋_GB2312" w:cs="仿宋_GB2312"/>
          <w:b w:val="0"/>
          <w:bCs w:val="0"/>
          <w:color w:val="auto"/>
          <w:sz w:val="34"/>
          <w:szCs w:val="34"/>
          <w:highlight w:val="none"/>
          <w:shd w:val="clear" w:color="050000" w:fill="auto"/>
        </w:rPr>
        <w:t>九台区调整环境空气质量优良天数比率和地表水优良水体比例达到省市考核目标要求</w:t>
      </w:r>
      <w:r>
        <w:rPr>
          <w:rFonts w:hint="eastAsia" w:ascii="仿宋_GB2312" w:hAnsi="仿宋_GB2312" w:eastAsia="仿宋_GB2312" w:cs="仿宋_GB2312"/>
          <w:b w:val="0"/>
          <w:bCs w:val="0"/>
          <w:color w:val="auto"/>
          <w:sz w:val="34"/>
          <w:szCs w:val="34"/>
          <w:highlight w:val="none"/>
          <w:shd w:val="clear" w:color="050000" w:fill="auto"/>
          <w:lang w:val="en-US" w:eastAsia="zh-CN"/>
        </w:rPr>
        <w:t>,</w:t>
      </w:r>
      <w:r>
        <w:rPr>
          <w:rFonts w:hint="eastAsia" w:ascii="仿宋_GB2312" w:hAnsi="仿宋_GB2312" w:eastAsia="仿宋_GB2312" w:cs="仿宋_GB2312"/>
          <w:b w:val="0"/>
          <w:bCs w:val="0"/>
          <w:color w:val="auto"/>
          <w:sz w:val="34"/>
          <w:szCs w:val="34"/>
          <w:highlight w:val="none"/>
          <w:shd w:val="clear" w:color="050000" w:fill="auto"/>
        </w:rPr>
        <w:t>纳入</w:t>
      </w:r>
      <w:r>
        <w:rPr>
          <w:rFonts w:hint="eastAsia" w:ascii="仿宋_GB2312" w:hAnsi="仿宋_GB2312" w:eastAsia="仿宋_GB2312" w:cs="仿宋_GB2312"/>
          <w:b w:val="0"/>
          <w:bCs w:val="0"/>
          <w:color w:val="auto"/>
          <w:sz w:val="34"/>
          <w:szCs w:val="34"/>
          <w:highlight w:val="none"/>
          <w:shd w:val="clear" w:color="050000" w:fill="auto"/>
          <w:lang w:eastAsia="zh-CN"/>
        </w:rPr>
        <w:t>九台区</w:t>
      </w:r>
      <w:r>
        <w:rPr>
          <w:rFonts w:hint="eastAsia" w:ascii="仿宋_GB2312" w:hAnsi="仿宋_GB2312" w:eastAsia="仿宋_GB2312" w:cs="仿宋_GB2312"/>
          <w:b w:val="0"/>
          <w:bCs w:val="0"/>
          <w:color w:val="auto"/>
          <w:sz w:val="34"/>
          <w:szCs w:val="34"/>
          <w:highlight w:val="none"/>
          <w:shd w:val="clear" w:color="050000" w:fill="auto"/>
        </w:rPr>
        <w:t>“十四五”生态环境保护规划体系。</w:t>
      </w:r>
    </w:p>
    <w:p>
      <w:pPr>
        <w:pageBreakBefore w:val="0"/>
        <w:kinsoku/>
        <w:wordWrap/>
        <w:overflowPunct/>
        <w:topLinePunct w:val="0"/>
        <w:autoSpaceDE/>
        <w:autoSpaceDN/>
        <w:bidi w:val="0"/>
        <w:spacing w:line="576" w:lineRule="exact"/>
        <w:ind w:firstLine="680" w:firstLineChars="200"/>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color w:val="auto"/>
          <w:sz w:val="34"/>
          <w:szCs w:val="34"/>
          <w:highlight w:val="none"/>
          <w:shd w:val="clear" w:color="050000" w:fill="auto"/>
          <w:lang w:eastAsia="zh-CN"/>
        </w:rPr>
        <w:t>三、</w:t>
      </w:r>
      <w:r>
        <w:rPr>
          <w:rFonts w:hint="eastAsia" w:ascii="黑体" w:hAnsi="黑体" w:eastAsia="黑体" w:cs="黑体"/>
          <w:b w:val="0"/>
          <w:bCs w:val="0"/>
          <w:sz w:val="32"/>
          <w:szCs w:val="32"/>
          <w:lang w:val="en-US" w:eastAsia="zh-CN"/>
        </w:rPr>
        <w:t>整改措施</w:t>
      </w:r>
    </w:p>
    <w:p>
      <w:pPr>
        <w:pageBreakBefore w:val="0"/>
        <w:numPr>
          <w:ilvl w:val="0"/>
          <w:numId w:val="0"/>
        </w:numPr>
        <w:kinsoku/>
        <w:wordWrap/>
        <w:overflowPunct/>
        <w:topLinePunct w:val="0"/>
        <w:autoSpaceDE/>
        <w:autoSpaceDN/>
        <w:bidi w:val="0"/>
        <w:spacing w:line="576" w:lineRule="exact"/>
        <w:ind w:firstLine="680" w:firstLineChars="200"/>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sz w:val="34"/>
          <w:szCs w:val="34"/>
          <w:lang w:eastAsia="zh-CN"/>
        </w:rPr>
        <w:t>（一）</w:t>
      </w:r>
      <w:r>
        <w:rPr>
          <w:rFonts w:hint="eastAsia" w:ascii="仿宋_GB2312" w:hAnsi="仿宋_GB2312" w:eastAsia="仿宋_GB2312" w:cs="仿宋_GB2312"/>
          <w:b w:val="0"/>
          <w:bCs w:val="0"/>
          <w:sz w:val="34"/>
          <w:szCs w:val="34"/>
        </w:rPr>
        <w:t>认真对照省市“十四五”规划，全面排查梳理5个绿色生态类指标设置情况，形成问题整改清单。</w:t>
      </w:r>
    </w:p>
    <w:p>
      <w:pPr>
        <w:pageBreakBefore w:val="0"/>
        <w:numPr>
          <w:ilvl w:val="0"/>
          <w:numId w:val="0"/>
        </w:numPr>
        <w:kinsoku/>
        <w:wordWrap/>
        <w:overflowPunct/>
        <w:topLinePunct w:val="0"/>
        <w:autoSpaceDE/>
        <w:autoSpaceDN/>
        <w:bidi w:val="0"/>
        <w:spacing w:line="576" w:lineRule="exact"/>
        <w:ind w:firstLine="680" w:firstLineChars="200"/>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sz w:val="34"/>
          <w:szCs w:val="34"/>
          <w:lang w:eastAsia="zh-CN"/>
        </w:rPr>
        <w:t>（二）</w:t>
      </w:r>
      <w:r>
        <w:rPr>
          <w:rFonts w:hint="eastAsia" w:ascii="仿宋_GB2312" w:hAnsi="仿宋_GB2312" w:eastAsia="仿宋_GB2312" w:cs="仿宋_GB2312"/>
          <w:b w:val="0"/>
          <w:bCs w:val="0"/>
          <w:sz w:val="34"/>
          <w:szCs w:val="34"/>
        </w:rPr>
        <w:t>对“十四五”规划编制过程中存在的指标设置不科学、未纳入指标体系等问题，对尚未颁布实施的规划，及时调整补充。对已经颁布实施的规划，将指标纳入年度考核指标体系，并按照相关规定在中期评估过程中进行调整补充。</w:t>
      </w:r>
    </w:p>
    <w:p>
      <w:pPr>
        <w:pageBreakBefore w:val="0"/>
        <w:widowControl/>
        <w:kinsoku/>
        <w:wordWrap/>
        <w:overflowPunct/>
        <w:topLinePunct w:val="0"/>
        <w:autoSpaceDE/>
        <w:autoSpaceDN/>
        <w:bidi w:val="0"/>
        <w:spacing w:line="576" w:lineRule="exact"/>
        <w:ind w:firstLine="680" w:firstLineChars="200"/>
        <w:rPr>
          <w:rFonts w:hint="eastAsia" w:ascii="仿宋_GB2312" w:hAnsi="仿宋_GB2312" w:eastAsia="仿宋_GB2312" w:cs="仿宋_GB2312"/>
          <w:b w:val="0"/>
          <w:bCs w:val="0"/>
          <w:sz w:val="34"/>
          <w:szCs w:val="34"/>
          <w:lang w:eastAsia="zh-CN"/>
        </w:rPr>
      </w:pPr>
      <w:r>
        <w:rPr>
          <w:rFonts w:hint="eastAsia" w:ascii="仿宋_GB2312" w:hAnsi="仿宋_GB2312" w:eastAsia="仿宋_GB2312" w:cs="仿宋_GB2312"/>
          <w:b w:val="0"/>
          <w:bCs w:val="0"/>
          <w:color w:val="auto"/>
          <w:sz w:val="34"/>
          <w:szCs w:val="34"/>
          <w:highlight w:val="none"/>
        </w:rPr>
        <w:t>（</w:t>
      </w:r>
      <w:r>
        <w:rPr>
          <w:rFonts w:hint="eastAsia" w:ascii="仿宋_GB2312" w:hAnsi="仿宋_GB2312" w:eastAsia="仿宋_GB2312" w:cs="仿宋_GB2312"/>
          <w:b w:val="0"/>
          <w:bCs w:val="0"/>
          <w:color w:val="auto"/>
          <w:sz w:val="34"/>
          <w:szCs w:val="34"/>
          <w:highlight w:val="none"/>
          <w:lang w:val="en-US" w:eastAsia="zh-CN"/>
        </w:rPr>
        <w:t>三</w:t>
      </w:r>
      <w:r>
        <w:rPr>
          <w:rFonts w:hint="eastAsia" w:ascii="仿宋_GB2312" w:hAnsi="仿宋_GB2312" w:eastAsia="仿宋_GB2312" w:cs="仿宋_GB2312"/>
          <w:b w:val="0"/>
          <w:bCs w:val="0"/>
          <w:color w:val="auto"/>
          <w:sz w:val="34"/>
          <w:szCs w:val="34"/>
          <w:highlight w:val="none"/>
        </w:rPr>
        <w:t>）九台区根据国省市“十四五”规划及考核要求，科学设定辖区环境空气质量优良天数比率和地表水优良水体比例，纳入</w:t>
      </w:r>
      <w:r>
        <w:rPr>
          <w:rFonts w:hint="eastAsia" w:ascii="仿宋_GB2312" w:hAnsi="仿宋_GB2312" w:eastAsia="仿宋_GB2312" w:cs="仿宋_GB2312"/>
          <w:b w:val="0"/>
          <w:bCs w:val="0"/>
          <w:sz w:val="34"/>
          <w:szCs w:val="34"/>
        </w:rPr>
        <w:t>《九台区生态环境保护“十四五”规划》</w:t>
      </w:r>
      <w:r>
        <w:rPr>
          <w:rFonts w:hint="eastAsia" w:ascii="仿宋_GB2312" w:hAnsi="仿宋_GB2312" w:eastAsia="仿宋_GB2312" w:cs="仿宋_GB2312"/>
          <w:b w:val="0"/>
          <w:bCs w:val="0"/>
          <w:color w:val="auto"/>
          <w:sz w:val="34"/>
          <w:szCs w:val="34"/>
          <w:highlight w:val="none"/>
        </w:rPr>
        <w:t>。</w:t>
      </w:r>
    </w:p>
    <w:p>
      <w:pPr>
        <w:numPr>
          <w:ilvl w:val="0"/>
          <w:numId w:val="0"/>
        </w:numPr>
        <w:spacing w:line="36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320" w:firstLineChars="100"/>
        <w:jc w:val="both"/>
        <w:rPr>
          <w:rFonts w:hint="eastAsia" w:ascii="仿宋_GB2312" w:hAnsi="仿宋_GB2312" w:eastAsia="仿宋_GB2312" w:cs="仿宋_GB2312"/>
          <w:b w:val="0"/>
          <w:i w:val="0"/>
          <w:caps w:val="0"/>
          <w:color w:val="0000FF"/>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auto"/>
          <w:spacing w:val="0"/>
          <w:sz w:val="32"/>
          <w:szCs w:val="32"/>
          <w:highlight w:val="none"/>
          <w:shd w:val="clear" w:color="080000" w:fill="FFFFFF"/>
        </w:rPr>
        <w:t>20</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auto"/>
          <w:spacing w:val="0"/>
          <w:sz w:val="32"/>
          <w:szCs w:val="32"/>
          <w:highlight w:val="none"/>
          <w:shd w:val="clear" w:color="080000" w:fill="FFFFFF"/>
        </w:rPr>
        <w:t>年</w:t>
      </w:r>
      <w:r>
        <w:rPr>
          <w:rFonts w:hint="default" w:ascii="仿宋_GB2312" w:hAnsi="仿宋_GB2312" w:eastAsia="仿宋_GB2312" w:cs="仿宋_GB2312"/>
          <w:b w:val="0"/>
          <w:i w:val="0"/>
          <w:caps w:val="0"/>
          <w:color w:val="auto"/>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auto"/>
          <w:spacing w:val="0"/>
          <w:sz w:val="32"/>
          <w:szCs w:val="32"/>
          <w:highlight w:val="none"/>
          <w:shd w:val="clear" w:color="080000" w:fill="FFFFFF"/>
        </w:rPr>
        <w:t>月</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auto"/>
          <w:spacing w:val="0"/>
          <w:sz w:val="32"/>
          <w:szCs w:val="32"/>
          <w:highlight w:val="none"/>
          <w:shd w:val="clear" w:color="080000" w:fill="FFFFFF"/>
        </w:rPr>
        <w:t>日至</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auto"/>
          <w:spacing w:val="0"/>
          <w:sz w:val="32"/>
          <w:szCs w:val="32"/>
          <w:highlight w:val="none"/>
          <w:shd w:val="clear" w:color="080000" w:fill="FFFFFF"/>
        </w:rPr>
        <w:t>月</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7日</w:t>
      </w:r>
    </w:p>
    <w:p>
      <w:pPr>
        <w:numPr>
          <w:ilvl w:val="0"/>
          <w:numId w:val="0"/>
        </w:numPr>
        <w:spacing w:line="360" w:lineRule="auto"/>
        <w:ind w:firstLine="640" w:firstLineChars="200"/>
        <w:jc w:val="center"/>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wordWrap w:val="0"/>
        <w:spacing w:line="360" w:lineRule="auto"/>
        <w:ind w:firstLine="3520" w:firstLineChars="1100"/>
        <w:jc w:val="both"/>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2022年11月23日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77DE5157"/>
    <w:rsid w:val="77DE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2023-03-27T02:57:00Z</dcterms:created>
  <dc:creator>阳光</dc:creator>
  <cp:lastModifiedBy>阳光</cp:lastModifiedBy>
  <dcterms:modified xsi:type="dcterms:W3CDTF">2023-03-27T02:57:23Z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57178C942BD34646AD6EB603260060C1</vt:lpwstr>
  </property>
</Properties>
</file>