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61" w:firstLineChars="100"/>
        <w:jc w:val="both"/>
        <w:rPr>
          <w:rFonts w:hint="eastAsia" w:ascii="宋体" w:hAnsi="宋体" w:eastAsia="宋体" w:cs="宋体"/>
          <w:b/>
          <w:bCs/>
          <w:sz w:val="36"/>
          <w:szCs w:val="36"/>
        </w:rPr>
      </w:pPr>
      <w:r>
        <w:rPr>
          <w:rFonts w:hint="eastAsia" w:ascii="宋体" w:hAnsi="宋体" w:eastAsia="宋体" w:cs="宋体"/>
          <w:b/>
          <w:bCs/>
          <w:color w:val="auto"/>
          <w:sz w:val="36"/>
          <w:szCs w:val="36"/>
          <w:highlight w:val="none"/>
        </w:rPr>
        <w:t>第二轮中央生态环境保护督察反馈意见</w:t>
      </w:r>
      <w:r>
        <w:rPr>
          <w:rFonts w:hint="eastAsia" w:ascii="宋体" w:hAnsi="宋体" w:eastAsia="宋体" w:cs="宋体"/>
          <w:b/>
          <w:bCs/>
          <w:sz w:val="36"/>
          <w:szCs w:val="36"/>
        </w:rPr>
        <w:t>整改任务</w:t>
      </w:r>
    </w:p>
    <w:p>
      <w:pPr>
        <w:spacing w:line="600" w:lineRule="exact"/>
        <w:ind w:firstLine="1807" w:firstLineChars="500"/>
        <w:jc w:val="both"/>
        <w:rPr>
          <w:rFonts w:hint="eastAsia" w:ascii="宋体" w:hAnsi="宋体" w:eastAsia="宋体" w:cs="宋体"/>
          <w:b/>
          <w:bCs/>
          <w:i w:val="0"/>
          <w:caps w:val="0"/>
          <w:color w:val="auto"/>
          <w:spacing w:val="0"/>
          <w:sz w:val="36"/>
          <w:szCs w:val="36"/>
        </w:rPr>
      </w:pPr>
      <w:r>
        <w:rPr>
          <w:rFonts w:hint="eastAsia" w:ascii="宋体" w:hAnsi="宋体" w:eastAsia="宋体" w:cs="宋体"/>
          <w:b/>
          <w:bCs/>
          <w:sz w:val="36"/>
          <w:szCs w:val="36"/>
        </w:rPr>
        <w:t>（序号</w:t>
      </w:r>
      <w:r>
        <w:rPr>
          <w:rFonts w:hint="eastAsia" w:ascii="宋体" w:hAnsi="宋体" w:cs="宋体"/>
          <w:b/>
          <w:bCs/>
          <w:sz w:val="36"/>
          <w:szCs w:val="36"/>
          <w:lang w:val="en-US" w:eastAsia="zh-CN"/>
        </w:rPr>
        <w:t>十七)</w:t>
      </w:r>
      <w:r>
        <w:rPr>
          <w:rFonts w:hint="eastAsia"/>
          <w:b/>
          <w:bCs/>
          <w:sz w:val="36"/>
          <w:szCs w:val="36"/>
          <w:highlight w:val="none"/>
        </w:rPr>
        <w:t xml:space="preserve"> </w:t>
      </w:r>
      <w:r>
        <w:rPr>
          <w:rFonts w:hint="eastAsia" w:ascii="宋体" w:hAnsi="宋体" w:eastAsia="宋体" w:cs="宋体"/>
          <w:b/>
          <w:bCs/>
          <w:i w:val="0"/>
          <w:caps w:val="0"/>
          <w:color w:val="auto"/>
          <w:spacing w:val="0"/>
          <w:sz w:val="36"/>
          <w:szCs w:val="36"/>
        </w:rPr>
        <w:t>完成情况的公示</w:t>
      </w:r>
    </w:p>
    <w:p>
      <w:pPr>
        <w:spacing w:line="360" w:lineRule="auto"/>
        <w:rPr>
          <w:rFonts w:hint="eastAsia" w:ascii="仿宋_GB2312" w:hAnsi="仿宋_GB2312" w:eastAsia="仿宋_GB2312" w:cs="仿宋_GB2312"/>
          <w:sz w:val="24"/>
          <w:szCs w:val="24"/>
          <w:lang w:eastAsia="zh-CN"/>
        </w:rPr>
      </w:pPr>
    </w:p>
    <w:p>
      <w:pPr>
        <w:spacing w:line="600" w:lineRule="exact"/>
        <w:ind w:firstLine="320" w:firstLineChars="100"/>
        <w:jc w:val="both"/>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　　</w:t>
      </w:r>
      <w:r>
        <w:rPr>
          <w:rFonts w:hint="eastAsia" w:ascii="仿宋" w:hAnsi="仿宋" w:eastAsia="仿宋" w:cs="仿宋"/>
          <w:sz w:val="32"/>
          <w:szCs w:val="32"/>
        </w:rPr>
        <w:t>为深入贯彻</w:t>
      </w:r>
      <w:r>
        <w:rPr>
          <w:rFonts w:hint="eastAsia" w:ascii="仿宋" w:hAnsi="仿宋" w:eastAsia="仿宋" w:cs="仿宋"/>
          <w:sz w:val="32"/>
          <w:szCs w:val="32"/>
          <w:lang w:eastAsia="zh-CN"/>
        </w:rPr>
        <w:t>落实中央</w:t>
      </w:r>
      <w:r>
        <w:rPr>
          <w:rFonts w:hint="eastAsia" w:ascii="仿宋" w:hAnsi="仿宋" w:eastAsia="仿宋" w:cs="仿宋"/>
          <w:sz w:val="32"/>
          <w:szCs w:val="32"/>
          <w:lang w:val="en-US" w:eastAsia="zh-CN"/>
        </w:rPr>
        <w:t>生态</w:t>
      </w:r>
      <w:r>
        <w:rPr>
          <w:rFonts w:hint="eastAsia" w:ascii="仿宋" w:hAnsi="仿宋" w:eastAsia="仿宋" w:cs="仿宋"/>
          <w:sz w:val="32"/>
          <w:szCs w:val="32"/>
        </w:rPr>
        <w:t>环</w:t>
      </w:r>
      <w:r>
        <w:rPr>
          <w:rFonts w:hint="eastAsia" w:ascii="仿宋" w:hAnsi="仿宋" w:eastAsia="仿宋" w:cs="仿宋"/>
          <w:sz w:val="32"/>
          <w:szCs w:val="32"/>
          <w:lang w:val="en-US" w:eastAsia="zh-CN"/>
        </w:rPr>
        <w:t>境</w:t>
      </w:r>
      <w:r>
        <w:rPr>
          <w:rFonts w:hint="eastAsia" w:ascii="仿宋" w:hAnsi="仿宋" w:eastAsia="仿宋" w:cs="仿宋"/>
          <w:sz w:val="32"/>
          <w:szCs w:val="32"/>
        </w:rPr>
        <w:t>保</w:t>
      </w:r>
      <w:r>
        <w:rPr>
          <w:rFonts w:hint="eastAsia" w:ascii="仿宋" w:hAnsi="仿宋" w:eastAsia="仿宋" w:cs="仿宋"/>
          <w:sz w:val="32"/>
          <w:szCs w:val="32"/>
          <w:lang w:val="en-US" w:eastAsia="zh-CN"/>
        </w:rPr>
        <w:t>护</w:t>
      </w:r>
      <w:r>
        <w:rPr>
          <w:rFonts w:hint="eastAsia" w:ascii="仿宋" w:hAnsi="仿宋" w:eastAsia="仿宋" w:cs="仿宋"/>
          <w:sz w:val="32"/>
          <w:szCs w:val="32"/>
        </w:rPr>
        <w:t>督察</w:t>
      </w:r>
      <w:r>
        <w:rPr>
          <w:rFonts w:hint="eastAsia" w:ascii="仿宋" w:hAnsi="仿宋" w:eastAsia="仿宋" w:cs="仿宋"/>
          <w:sz w:val="32"/>
          <w:szCs w:val="32"/>
          <w:lang w:eastAsia="zh-CN"/>
        </w:rPr>
        <w:t>反馈</w:t>
      </w:r>
      <w:r>
        <w:rPr>
          <w:rFonts w:hint="eastAsia" w:ascii="仿宋" w:hAnsi="仿宋" w:eastAsia="仿宋" w:cs="仿宋"/>
          <w:sz w:val="32"/>
          <w:szCs w:val="32"/>
        </w:rPr>
        <w:t>意见，努力改善全区生态环境质量，</w:t>
      </w:r>
      <w:r>
        <w:rPr>
          <w:rFonts w:hint="eastAsia" w:ascii="仿宋" w:hAnsi="仿宋" w:eastAsia="仿宋" w:cs="仿宋"/>
          <w:sz w:val="32"/>
          <w:szCs w:val="32"/>
          <w:lang w:eastAsia="zh-CN"/>
        </w:rPr>
        <w:t>长春市九台区环境保护督察反馈问题整改工作领导小组办公室</w:t>
      </w:r>
      <w:r>
        <w:rPr>
          <w:rFonts w:hint="eastAsia" w:ascii="仿宋" w:hAnsi="仿宋" w:eastAsia="仿宋" w:cs="仿宋"/>
          <w:sz w:val="32"/>
          <w:szCs w:val="32"/>
        </w:rPr>
        <w:t>积极开</w:t>
      </w:r>
      <w:r>
        <w:rPr>
          <w:rFonts w:hint="eastAsia" w:ascii="仿宋" w:hAnsi="仿宋" w:eastAsia="仿宋" w:cs="仿宋"/>
          <w:b w:val="0"/>
          <w:bCs w:val="0"/>
          <w:sz w:val="32"/>
          <w:szCs w:val="32"/>
        </w:rPr>
        <w:t>展</w:t>
      </w:r>
      <w:r>
        <w:rPr>
          <w:rFonts w:hint="eastAsia" w:ascii="仿宋" w:hAnsi="仿宋" w:eastAsia="仿宋" w:cs="仿宋"/>
          <w:b w:val="0"/>
          <w:bCs w:val="0"/>
          <w:color w:val="auto"/>
          <w:sz w:val="32"/>
          <w:szCs w:val="32"/>
          <w:highlight w:val="none"/>
        </w:rPr>
        <w:t>第二轮中央生态环境保护督察反馈意见</w:t>
      </w:r>
      <w:r>
        <w:rPr>
          <w:rFonts w:hint="eastAsia" w:ascii="仿宋" w:hAnsi="仿宋" w:eastAsia="仿宋" w:cs="仿宋"/>
          <w:b w:val="0"/>
          <w:bCs w:val="0"/>
          <w:sz w:val="32"/>
          <w:szCs w:val="32"/>
        </w:rPr>
        <w:t>整改工作。现将</w:t>
      </w:r>
      <w:r>
        <w:rPr>
          <w:rFonts w:hint="eastAsia" w:ascii="仿宋" w:hAnsi="仿宋" w:eastAsia="仿宋" w:cs="仿宋"/>
          <w:b w:val="0"/>
          <w:bCs w:val="0"/>
          <w:sz w:val="32"/>
          <w:szCs w:val="32"/>
          <w:lang w:eastAsia="zh-CN"/>
        </w:rPr>
        <w:t>第十七</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问题</w:t>
      </w:r>
      <w:r>
        <w:rPr>
          <w:rFonts w:hint="eastAsia" w:ascii="仿宋" w:hAnsi="仿宋" w:eastAsia="仿宋" w:cs="仿宋"/>
          <w:sz w:val="32"/>
          <w:szCs w:val="32"/>
        </w:rPr>
        <w:t>整改</w:t>
      </w:r>
      <w:r>
        <w:rPr>
          <w:rFonts w:hint="eastAsia" w:ascii="仿宋" w:hAnsi="仿宋" w:eastAsia="仿宋" w:cs="仿宋"/>
          <w:sz w:val="32"/>
          <w:szCs w:val="32"/>
          <w:lang w:eastAsia="zh-CN"/>
        </w:rPr>
        <w:t>完成情况予以</w:t>
      </w:r>
      <w:r>
        <w:rPr>
          <w:rFonts w:hint="eastAsia" w:ascii="仿宋" w:hAnsi="仿宋" w:eastAsia="仿宋" w:cs="仿宋"/>
          <w:sz w:val="32"/>
          <w:szCs w:val="32"/>
        </w:rPr>
        <w:t>公示</w:t>
      </w:r>
      <w:r>
        <w:rPr>
          <w:rFonts w:hint="eastAsia" w:ascii="仿宋" w:hAnsi="仿宋" w:eastAsia="仿宋" w:cs="仿宋"/>
          <w:sz w:val="32"/>
          <w:szCs w:val="32"/>
          <w:lang w:eastAsia="zh-CN"/>
        </w:rPr>
        <w:t>。</w:t>
      </w:r>
    </w:p>
    <w:p>
      <w:pPr>
        <w:numPr>
          <w:ilvl w:val="0"/>
          <w:numId w:val="1"/>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整改任务</w:t>
      </w:r>
    </w:p>
    <w:p>
      <w:pPr>
        <w:keepNext w:val="0"/>
        <w:keepLines w:val="0"/>
        <w:pageBreakBefore w:val="0"/>
        <w:kinsoku/>
        <w:wordWrap/>
        <w:overflowPunct/>
        <w:topLinePunct w:val="0"/>
        <w:bidi w:val="0"/>
        <w:spacing w:line="360" w:lineRule="auto"/>
        <w:ind w:right="0" w:rightChars="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val="0"/>
          <w:bCs w:val="0"/>
          <w:color w:val="auto"/>
          <w:sz w:val="32"/>
          <w:szCs w:val="32"/>
          <w:highlight w:val="none"/>
        </w:rPr>
        <w:t>督察还发现，一些城镇污水处理厂污泥处置管理较为混乱。2019年以来，长春市农安县吉林省鹏鹞生物科技有限公司未经任何审批，以改良盐碱地土质名义，违法填埋约75万吨污泥处置后产物，涉及土地约200公顷。为掩盖其违法行为，2021年7月，该公司在填埋地块上临时补种树苗应对督察检查。长春榆树市、白山临江市、延边朝鲜族自治州图们市和敦化市等城市污水处理厂污泥含水率均未达到填埋规范要求。</w:t>
      </w:r>
    </w:p>
    <w:p>
      <w:pPr>
        <w:keepNext w:val="0"/>
        <w:keepLines w:val="0"/>
        <w:pageBreakBefore w:val="0"/>
        <w:numPr>
          <w:ilvl w:val="0"/>
          <w:numId w:val="1"/>
        </w:numPr>
        <w:kinsoku/>
        <w:wordWrap/>
        <w:overflowPunct/>
        <w:topLinePunct w:val="0"/>
        <w:bidi w:val="0"/>
        <w:spacing w:line="360" w:lineRule="auto"/>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整改目标</w:t>
      </w:r>
    </w:p>
    <w:p>
      <w:pPr>
        <w:pageBreakBefore w:val="0"/>
        <w:kinsoku/>
        <w:wordWrap/>
        <w:overflowPunct/>
        <w:topLinePunct w:val="0"/>
        <w:autoSpaceDE/>
        <w:autoSpaceDN/>
        <w:bidi w:val="0"/>
        <w:spacing w:line="576" w:lineRule="exact"/>
        <w:ind w:firstLine="640" w:firstLineChars="200"/>
        <w:jc w:val="left"/>
        <w:rPr>
          <w:rFonts w:hint="eastAsia"/>
          <w:lang w:val="en-US" w:eastAsia="zh-CN"/>
        </w:rPr>
      </w:pPr>
      <w:r>
        <w:rPr>
          <w:rFonts w:hint="eastAsia" w:ascii="仿宋" w:hAnsi="仿宋" w:eastAsia="仿宋" w:cs="仿宋"/>
          <w:b w:val="0"/>
          <w:bCs w:val="0"/>
          <w:color w:val="auto"/>
          <w:sz w:val="32"/>
          <w:szCs w:val="32"/>
          <w:lang w:eastAsia="zh-CN"/>
        </w:rPr>
        <w:t>九台区城镇污水处理厂污泥含水率达到相关规范要求，交由有资质部门处置；</w:t>
      </w:r>
      <w:r>
        <w:rPr>
          <w:rFonts w:hint="eastAsia" w:ascii="仿宋" w:hAnsi="仿宋" w:eastAsia="仿宋" w:cs="仿宋"/>
          <w:b w:val="0"/>
          <w:bCs w:val="0"/>
          <w:color w:val="auto"/>
          <w:sz w:val="32"/>
          <w:szCs w:val="32"/>
          <w:highlight w:val="none"/>
        </w:rPr>
        <w:t>加强对城镇污水处理厂污泥处置的日常监管</w:t>
      </w:r>
      <w:r>
        <w:rPr>
          <w:rFonts w:hint="eastAsia" w:ascii="仿宋" w:hAnsi="仿宋" w:eastAsia="仿宋" w:cs="仿宋"/>
          <w:b w:val="0"/>
          <w:bCs w:val="0"/>
          <w:color w:val="auto"/>
          <w:sz w:val="32"/>
          <w:szCs w:val="32"/>
          <w:highlight w:val="none"/>
          <w:lang w:eastAsia="zh-CN"/>
        </w:rPr>
        <w:t>。</w:t>
      </w:r>
    </w:p>
    <w:p>
      <w:pPr>
        <w:numPr>
          <w:ilvl w:val="0"/>
          <w:numId w:val="1"/>
        </w:numPr>
        <w:spacing w:line="360" w:lineRule="auto"/>
        <w:ind w:left="0"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整改措施</w:t>
      </w:r>
    </w:p>
    <w:p>
      <w:pPr>
        <w:pageBreakBefore w:val="0"/>
        <w:numPr>
          <w:ilvl w:val="0"/>
          <w:numId w:val="2"/>
        </w:numPr>
        <w:kinsoku/>
        <w:wordWrap/>
        <w:overflowPunct/>
        <w:topLinePunct w:val="0"/>
        <w:autoSpaceDE/>
        <w:autoSpaceDN/>
        <w:bidi w:val="0"/>
        <w:spacing w:line="576" w:lineRule="exact"/>
        <w:ind w:firstLine="646" w:firstLineChars="202"/>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将加强对污泥处置企业和城镇污水处理厂的监管，规范污泥产生、运输、处理等各个环节，定期进行检查和督导。</w:t>
      </w:r>
    </w:p>
    <w:p>
      <w:pPr>
        <w:pageBreakBefore w:val="0"/>
        <w:numPr>
          <w:ilvl w:val="0"/>
          <w:numId w:val="2"/>
        </w:numPr>
        <w:kinsoku/>
        <w:wordWrap/>
        <w:overflowPunct/>
        <w:topLinePunct w:val="0"/>
        <w:autoSpaceDE/>
        <w:autoSpaceDN/>
        <w:bidi w:val="0"/>
        <w:spacing w:line="576" w:lineRule="exact"/>
        <w:ind w:firstLine="646" w:firstLineChars="202"/>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rPr>
        <w:t>加强对污水处理厂的设备运行、在线设施传送、污泥产生转运等全过程进行监管</w:t>
      </w:r>
      <w:r>
        <w:rPr>
          <w:rFonts w:hint="eastAsia" w:ascii="仿宋" w:hAnsi="仿宋" w:eastAsia="仿宋" w:cs="仿宋"/>
          <w:b w:val="0"/>
          <w:bCs w:val="0"/>
          <w:color w:val="auto"/>
          <w:sz w:val="32"/>
          <w:szCs w:val="32"/>
          <w:lang w:eastAsia="zh-CN"/>
        </w:rPr>
        <w:t>。</w:t>
      </w:r>
    </w:p>
    <w:p>
      <w:pPr>
        <w:numPr>
          <w:ilvl w:val="0"/>
          <w:numId w:val="0"/>
        </w:num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四、整改效果</w:t>
      </w:r>
    </w:p>
    <w:p>
      <w:pPr>
        <w:numPr>
          <w:ilvl w:val="0"/>
          <w:numId w:val="0"/>
        </w:numPr>
        <w:spacing w:line="360" w:lineRule="auto"/>
        <w:ind w:firstLine="640"/>
        <w:rPr>
          <w:rFonts w:hint="eastAsia" w:ascii="仿宋_GB2312" w:hAnsi="仿宋_GB2312" w:eastAsia="仿宋_GB2312" w:cs="仿宋_GB2312"/>
          <w:sz w:val="32"/>
          <w:szCs w:val="32"/>
          <w:lang w:val="en-US" w:eastAsia="zh-CN"/>
        </w:rPr>
      </w:pPr>
      <w:r>
        <w:rPr>
          <w:rFonts w:hint="eastAsia" w:ascii="仿宋_GB2312" w:hAnsi="宋体" w:eastAsia="仿宋_GB2312" w:cs="Times New Roman"/>
          <w:sz w:val="32"/>
          <w:szCs w:val="32"/>
          <w:lang w:val="en-US" w:eastAsia="zh-CN"/>
        </w:rPr>
        <w:t>目前，整改方案确定的整改措施已全部完成。</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欢</w:t>
      </w:r>
      <w:r>
        <w:rPr>
          <w:rFonts w:hint="eastAsia" w:ascii="仿宋_GB2312" w:hAnsi="仿宋_GB2312" w:eastAsia="仿宋_GB2312" w:cs="仿宋_GB2312"/>
          <w:b w:val="0"/>
          <w:i w:val="0"/>
          <w:caps w:val="0"/>
          <w:color w:val="333333"/>
          <w:spacing w:val="0"/>
          <w:sz w:val="32"/>
          <w:szCs w:val="32"/>
          <w:shd w:val="clear" w:color="080000" w:fill="FFFFFF"/>
        </w:rPr>
        <w:t>迎广大人民群众监督</w:t>
      </w:r>
      <w:r>
        <w:rPr>
          <w:rFonts w:hint="eastAsia" w:ascii="仿宋_GB2312" w:hAnsi="仿宋_GB2312" w:eastAsia="仿宋_GB2312" w:cs="仿宋_GB2312"/>
          <w:b w:val="0"/>
          <w:i w:val="0"/>
          <w:caps w:val="0"/>
          <w:color w:val="333333"/>
          <w:spacing w:val="0"/>
          <w:sz w:val="32"/>
          <w:szCs w:val="32"/>
          <w:shd w:val="clear" w:color="080000" w:fill="FFFFFF"/>
          <w:lang w:eastAsia="zh-CN"/>
        </w:rPr>
        <w:t>。</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rPr>
        <w:t>公示时间：</w:t>
      </w:r>
      <w:r>
        <w:rPr>
          <w:rFonts w:hint="eastAsia" w:ascii="仿宋_GB2312" w:hAnsi="仿宋_GB2312" w:eastAsia="仿宋_GB2312" w:cs="仿宋_GB2312"/>
          <w:b w:val="0"/>
          <w:i w:val="0"/>
          <w:caps w:val="0"/>
          <w:color w:val="333333"/>
          <w:spacing w:val="0"/>
          <w:sz w:val="32"/>
          <w:szCs w:val="32"/>
          <w:highlight w:val="none"/>
          <w:shd w:val="clear" w:color="080000" w:fill="FFFFFF"/>
        </w:rPr>
        <w:t>20</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22</w:t>
      </w:r>
      <w:r>
        <w:rPr>
          <w:rFonts w:hint="eastAsia" w:ascii="仿宋_GB2312" w:hAnsi="仿宋_GB2312" w:eastAsia="仿宋_GB2312" w:cs="仿宋_GB2312"/>
          <w:b w:val="0"/>
          <w:i w:val="0"/>
          <w:caps w:val="0"/>
          <w:color w:val="333333"/>
          <w:spacing w:val="0"/>
          <w:sz w:val="32"/>
          <w:szCs w:val="32"/>
          <w:highlight w:val="none"/>
          <w:shd w:val="clear" w:color="080000" w:fill="FFFFFF"/>
        </w:rPr>
        <w:t>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8</w:t>
      </w:r>
      <w:r>
        <w:rPr>
          <w:rFonts w:hint="eastAsia" w:ascii="仿宋_GB2312" w:hAnsi="仿宋_GB2312" w:eastAsia="仿宋_GB2312" w:cs="仿宋_GB2312"/>
          <w:b w:val="0"/>
          <w:i w:val="0"/>
          <w:caps w:val="0"/>
          <w:color w:val="333333"/>
          <w:spacing w:val="0"/>
          <w:sz w:val="32"/>
          <w:szCs w:val="32"/>
          <w:highlight w:val="none"/>
          <w:shd w:val="clear" w:color="080000" w:fill="FFFFFF"/>
        </w:rPr>
        <w:t>日至</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2022年</w:t>
      </w:r>
      <w:r>
        <w:rPr>
          <w:rFonts w:hint="default" w:ascii="仿宋_GB2312" w:hAnsi="仿宋_GB2312" w:eastAsia="仿宋_GB2312" w:cs="仿宋_GB2312"/>
          <w:b w:val="0"/>
          <w:i w:val="0"/>
          <w:caps w:val="0"/>
          <w:color w:val="333333"/>
          <w:spacing w:val="0"/>
          <w:sz w:val="32"/>
          <w:szCs w:val="32"/>
          <w:highlight w:val="none"/>
          <w:shd w:val="clear" w:color="080000" w:fill="FFFFFF"/>
          <w:lang w:val="en-US" w:eastAsia="zh-CN"/>
        </w:rPr>
        <w:t>1</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w:t>
      </w:r>
      <w:r>
        <w:rPr>
          <w:rFonts w:hint="eastAsia" w:ascii="仿宋_GB2312" w:hAnsi="仿宋_GB2312" w:eastAsia="仿宋_GB2312" w:cs="仿宋_GB2312"/>
          <w:b w:val="0"/>
          <w:i w:val="0"/>
          <w:caps w:val="0"/>
          <w:color w:val="333333"/>
          <w:spacing w:val="0"/>
          <w:sz w:val="32"/>
          <w:szCs w:val="32"/>
          <w:highlight w:val="none"/>
          <w:shd w:val="clear" w:color="080000" w:fill="FFFFFF"/>
        </w:rPr>
        <w:t>月</w:t>
      </w:r>
      <w:r>
        <w:rPr>
          <w:rFonts w:hint="eastAsia" w:ascii="仿宋_GB2312" w:hAnsi="仿宋_GB2312" w:eastAsia="仿宋_GB2312" w:cs="仿宋_GB2312"/>
          <w:b w:val="0"/>
          <w:i w:val="0"/>
          <w:caps w:val="0"/>
          <w:color w:val="333333"/>
          <w:spacing w:val="0"/>
          <w:sz w:val="32"/>
          <w:szCs w:val="32"/>
          <w:highlight w:val="none"/>
          <w:shd w:val="clear" w:color="080000" w:fill="FFFFFF"/>
          <w:lang w:val="en-US" w:eastAsia="zh-CN"/>
        </w:rPr>
        <w:t>23日</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r>
        <w:rPr>
          <w:rFonts w:hint="eastAsia" w:ascii="仿宋_GB2312" w:hAnsi="仿宋_GB2312" w:eastAsia="仿宋_GB2312" w:cs="仿宋_GB2312"/>
          <w:b w:val="0"/>
          <w:i w:val="0"/>
          <w:caps w:val="0"/>
          <w:color w:val="333333"/>
          <w:spacing w:val="0"/>
          <w:sz w:val="32"/>
          <w:szCs w:val="32"/>
          <w:shd w:val="clear" w:color="080000" w:fill="FFFFFF"/>
          <w:lang w:eastAsia="zh-CN"/>
        </w:rPr>
        <w:t>监督</w:t>
      </w:r>
      <w:r>
        <w:rPr>
          <w:rFonts w:hint="eastAsia" w:ascii="仿宋_GB2312" w:hAnsi="仿宋_GB2312" w:eastAsia="仿宋_GB2312" w:cs="仿宋_GB2312"/>
          <w:b w:val="0"/>
          <w:i w:val="0"/>
          <w:caps w:val="0"/>
          <w:color w:val="333333"/>
          <w:spacing w:val="0"/>
          <w:sz w:val="32"/>
          <w:szCs w:val="32"/>
          <w:shd w:val="clear" w:color="080000" w:fill="FFFFFF"/>
        </w:rPr>
        <w:t>电话：</w:t>
      </w:r>
      <w:r>
        <w:rPr>
          <w:rFonts w:hint="eastAsia" w:ascii="仿宋_GB2312" w:hAnsi="仿宋_GB2312" w:eastAsia="仿宋_GB2312" w:cs="仿宋_GB2312"/>
          <w:b w:val="0"/>
          <w:i w:val="0"/>
          <w:caps w:val="0"/>
          <w:color w:val="333333"/>
          <w:spacing w:val="0"/>
          <w:sz w:val="32"/>
          <w:szCs w:val="32"/>
          <w:shd w:val="clear" w:color="080000" w:fill="FFFFFF"/>
          <w:lang w:val="en-US" w:eastAsia="zh-CN"/>
        </w:rPr>
        <w:t>0431-82346299</w:t>
      </w: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spacing w:line="360" w:lineRule="auto"/>
        <w:ind w:firstLine="640" w:firstLineChars="200"/>
        <w:rPr>
          <w:rFonts w:hint="eastAsia" w:ascii="仿宋_GB2312" w:hAnsi="仿宋_GB2312" w:eastAsia="仿宋_GB2312" w:cs="仿宋_GB2312"/>
          <w:b w:val="0"/>
          <w:i w:val="0"/>
          <w:caps w:val="0"/>
          <w:color w:val="333333"/>
          <w:spacing w:val="0"/>
          <w:sz w:val="32"/>
          <w:szCs w:val="32"/>
          <w:shd w:val="clear" w:color="080000" w:fill="FFFFFF"/>
          <w:lang w:val="en-US" w:eastAsia="zh-CN"/>
        </w:rPr>
      </w:pP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长春市九台区环境保护督察反馈</w:t>
      </w:r>
    </w:p>
    <w:p>
      <w:pPr>
        <w:numPr>
          <w:ilvl w:val="0"/>
          <w:numId w:val="0"/>
        </w:numPr>
        <w:wordWrap w:val="0"/>
        <w:spacing w:line="360" w:lineRule="auto"/>
        <w:ind w:left="640" w:leftChars="0" w:firstLine="440"/>
        <w:jc w:val="right"/>
        <w:rPr>
          <w:rFonts w:hint="eastAsia" w:ascii="仿宋_GB2312" w:hAnsi="仿宋_GB2312" w:eastAsia="仿宋_GB2312" w:cs="仿宋_GB2312"/>
          <w:b w:val="0"/>
          <w:i w:val="0"/>
          <w:caps w:val="0"/>
          <w:color w:val="auto"/>
          <w:spacing w:val="0"/>
          <w:sz w:val="32"/>
          <w:szCs w:val="32"/>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问题整改工作领导小组办公室 </w:t>
      </w:r>
    </w:p>
    <w:p>
      <w:pPr>
        <w:numPr>
          <w:ilvl w:val="0"/>
          <w:numId w:val="0"/>
        </w:numPr>
        <w:wordWrap w:val="0"/>
        <w:spacing w:line="360" w:lineRule="auto"/>
        <w:jc w:val="both"/>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pPr>
      <w:r>
        <w:rPr>
          <w:rFonts w:hint="eastAsia" w:ascii="仿宋_GB2312" w:hAnsi="仿宋_GB2312" w:eastAsia="仿宋_GB2312" w:cs="仿宋_GB2312"/>
          <w:b w:val="0"/>
          <w:i w:val="0"/>
          <w:caps w:val="0"/>
          <w:color w:val="auto"/>
          <w:spacing w:val="0"/>
          <w:sz w:val="32"/>
          <w:szCs w:val="32"/>
          <w:shd w:val="clear" w:color="080000" w:fill="FFFFFF"/>
          <w:lang w:val="en-US" w:eastAsia="zh-CN"/>
        </w:rPr>
        <w:t xml:space="preserve">                             </w:t>
      </w:r>
      <w:r>
        <w:rPr>
          <w:rFonts w:hint="eastAsia" w:ascii="仿宋_GB2312" w:hAnsi="仿宋_GB2312" w:eastAsia="仿宋_GB2312" w:cs="仿宋_GB2312"/>
          <w:b w:val="0"/>
          <w:i w:val="0"/>
          <w:caps w:val="0"/>
          <w:color w:val="auto"/>
          <w:spacing w:val="0"/>
          <w:sz w:val="32"/>
          <w:szCs w:val="32"/>
          <w:highlight w:val="none"/>
          <w:shd w:val="clear" w:color="080000" w:fill="FFFFFF"/>
          <w:lang w:val="en-US" w:eastAsia="zh-CN"/>
        </w:rPr>
        <w:t xml:space="preserve">2022年12月8日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8BFC6"/>
    <w:multiLevelType w:val="singleLevel"/>
    <w:tmpl w:val="24D8BFC6"/>
    <w:lvl w:ilvl="0" w:tentative="0">
      <w:start w:val="1"/>
      <w:numFmt w:val="chineseCounting"/>
      <w:suff w:val="nothing"/>
      <w:lvlText w:val="（%1）"/>
      <w:lvlJc w:val="left"/>
      <w:rPr>
        <w:rFonts w:hint="eastAsia"/>
      </w:rPr>
    </w:lvl>
  </w:abstractNum>
  <w:abstractNum w:abstractNumId="1">
    <w:nsid w:val="5DEDE17C"/>
    <w:multiLevelType w:val="singleLevel"/>
    <w:tmpl w:val="5DEDE17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ZWNlNWVkMTAzZjA5ZDQ4NDZlNmYxNzRmYTMxZGQifQ=="/>
  </w:docVars>
  <w:rsids>
    <w:rsidRoot w:val="1CDB4685"/>
    <w:rsid w:val="1CDB4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2023-03-27T03:06:00Z</dcterms:created>
  <dc:creator>阳光</dc:creator>
  <cp:lastModifiedBy>阳光</cp:lastModifiedBy>
  <dcterms:modified xsi:type="dcterms:W3CDTF">2023-03-27T03:07:13Z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66E551C883A7401EBD948636ACFD9AD1</vt:lpwstr>
  </property>
</Properties>
</file>