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二十八)</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第二十八</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color w:val="000000"/>
          <w:sz w:val="32"/>
          <w:szCs w:val="32"/>
          <w:highlight w:val="none"/>
        </w:rPr>
        <w:t>黑土地保护部分措施落实不到位。《吉林省黑土地保护条例》已颁布实施3年，但配套措施推进缓慢，部分工作落实不到位。截至督察进驻时，省级黑土地保护总体规划仍未完成编制，黑土地保护责任考核和督察工作体系还不健全，黑土地质量监测和信息发布、质量标准和分等定级技术规范等配套制度均未建立。</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ageBreakBefore w:val="0"/>
        <w:kinsoku/>
        <w:wordWrap/>
        <w:overflowPunct/>
        <w:topLinePunct w:val="0"/>
        <w:autoSpaceDE/>
        <w:autoSpaceDN/>
        <w:bidi w:val="0"/>
        <w:spacing w:line="576" w:lineRule="exact"/>
        <w:ind w:firstLine="640" w:firstLineChars="200"/>
        <w:rPr>
          <w:rFonts w:hint="eastAsia"/>
          <w:lang w:val="en-US" w:eastAsia="zh-CN"/>
        </w:rPr>
      </w:pPr>
      <w:r>
        <w:rPr>
          <w:rFonts w:hint="eastAsia" w:ascii="仿宋" w:hAnsi="仿宋" w:eastAsia="仿宋" w:cs="仿宋"/>
          <w:b w:val="0"/>
          <w:bCs w:val="0"/>
          <w:color w:val="auto"/>
          <w:sz w:val="32"/>
          <w:szCs w:val="32"/>
          <w:highlight w:val="none"/>
        </w:rPr>
        <w:t>黑土地保护制度进一步完善，保护措施得到有效落实。</w:t>
      </w:r>
    </w:p>
    <w:p>
      <w:pPr>
        <w:numPr>
          <w:ilvl w:val="0"/>
          <w:numId w:val="1"/>
        </w:numPr>
        <w:spacing w:line="360" w:lineRule="auto"/>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整改措施</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一）区农业农村局组织各乡镇（街道）政府负责同志及区农业农村局相关处室、站所主要负责同志学习领会习近平总书记关于黑土地保护和视察吉林的重要讲话重要指示精神、《吉林省黑土地保护条例》及《中共九台区委九台区人民政府关于全面加强黑土地保护的实施意见》，提高思想认识，坚定不移地把黑土地保护好、利用好，使之造福人民。</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（二）2022年12月底前，区农业农村局完成九台区黑土地保护总体规划编制，</w:t>
      </w:r>
      <w:r>
        <w:rPr>
          <w:rFonts w:hint="eastAsia" w:ascii="仿宋" w:hAnsi="仿宋" w:eastAsia="仿宋" w:cs="仿宋"/>
          <w:b w:val="0"/>
          <w:bCs w:val="0"/>
          <w:sz w:val="32"/>
          <w:szCs w:val="32"/>
          <w:highlight w:val="none"/>
        </w:rPr>
        <w:t>完善黑土地保护制度体系</w:t>
      </w:r>
      <w:r>
        <w:rPr>
          <w:rFonts w:hint="eastAsia" w:ascii="仿宋" w:hAnsi="仿宋" w:eastAsia="仿宋" w:cs="仿宋"/>
          <w:b w:val="0"/>
          <w:bCs w:val="0"/>
          <w:sz w:val="32"/>
          <w:szCs w:val="32"/>
          <w:highlight w:val="none"/>
          <w:lang w:eastAsia="zh-CN"/>
        </w:rPr>
        <w:t>。</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8</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23日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2022年1</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月8日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4E16782C"/>
    <w:rsid w:val="4E16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2023-03-27T03:13:00Z</dcterms:created>
  <dc:creator>阳光</dc:creator>
  <cp:lastModifiedBy>阳光</cp:lastModifiedBy>
  <dcterms:modified xsi:type="dcterms:W3CDTF">2023-03-27T03:13:42Z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61F8F8231F224DD48B29A02C0D6D946F</vt:lpwstr>
  </property>
</Properties>
</file>