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560" w:firstLine="560"/>
      </w:pPr>
    </w:p>
    <w:p>
      <w:pPr>
        <w:pStyle w:val="2"/>
        <w:ind w:left="560" w:firstLine="560"/>
      </w:pPr>
    </w:p>
    <w:p>
      <w:pPr>
        <w:ind w:firstLine="560"/>
      </w:pPr>
    </w:p>
    <w:p>
      <w:pPr>
        <w:ind w:firstLine="0" w:firstLineChars="0"/>
        <w:jc w:val="center"/>
        <w:rPr>
          <w:rFonts w:eastAsia="黑体"/>
          <w:b/>
          <w:bCs/>
          <w:sz w:val="44"/>
          <w:szCs w:val="44"/>
        </w:rPr>
      </w:pPr>
      <w:r>
        <w:rPr>
          <w:rFonts w:hint="eastAsia" w:eastAsia="黑体"/>
          <w:b/>
          <w:bCs/>
          <w:sz w:val="44"/>
          <w:szCs w:val="44"/>
        </w:rPr>
        <w:t>长春市九台区高标准农田建设规划</w:t>
      </w:r>
    </w:p>
    <w:p>
      <w:pPr>
        <w:pStyle w:val="2"/>
        <w:ind w:left="0" w:leftChars="0" w:firstLine="0" w:firstLineChars="0"/>
        <w:jc w:val="center"/>
        <w:rPr>
          <w:rFonts w:eastAsia="黑体"/>
          <w:b/>
          <w:bCs/>
          <w:sz w:val="44"/>
          <w:szCs w:val="44"/>
        </w:rPr>
      </w:pPr>
      <w:r>
        <w:rPr>
          <w:rFonts w:hint="eastAsia" w:eastAsia="黑体"/>
          <w:b/>
          <w:bCs/>
          <w:sz w:val="44"/>
          <w:szCs w:val="44"/>
        </w:rPr>
        <w:t>（2021-20</w:t>
      </w:r>
      <w:r>
        <w:rPr>
          <w:rFonts w:eastAsia="黑体"/>
          <w:b/>
          <w:bCs/>
          <w:sz w:val="44"/>
          <w:szCs w:val="44"/>
        </w:rPr>
        <w:t>30</w:t>
      </w:r>
      <w:r>
        <w:rPr>
          <w:rFonts w:hint="eastAsia" w:eastAsia="黑体"/>
          <w:b/>
          <w:bCs/>
          <w:sz w:val="44"/>
          <w:szCs w:val="44"/>
        </w:rPr>
        <w:t>年）</w:t>
      </w:r>
    </w:p>
    <w:p>
      <w:pPr>
        <w:ind w:firstLine="883"/>
        <w:rPr>
          <w:b/>
          <w:bCs/>
          <w:sz w:val="44"/>
          <w:szCs w:val="40"/>
        </w:rPr>
      </w:pPr>
    </w:p>
    <w:p>
      <w:pPr>
        <w:ind w:firstLine="883"/>
        <w:rPr>
          <w:b/>
          <w:bCs/>
          <w:sz w:val="44"/>
          <w:szCs w:val="40"/>
        </w:rPr>
      </w:pPr>
    </w:p>
    <w:p>
      <w:pPr>
        <w:pStyle w:val="2"/>
        <w:ind w:left="560" w:firstLine="560"/>
      </w:pPr>
    </w:p>
    <w:p>
      <w:pPr>
        <w:pStyle w:val="2"/>
        <w:ind w:left="560" w:firstLine="883"/>
        <w:rPr>
          <w:b/>
          <w:bCs/>
          <w:sz w:val="44"/>
          <w:szCs w:val="40"/>
        </w:rPr>
      </w:pPr>
    </w:p>
    <w:p>
      <w:pPr>
        <w:ind w:firstLine="560"/>
      </w:pPr>
    </w:p>
    <w:p>
      <w:pPr>
        <w:pStyle w:val="2"/>
        <w:ind w:left="560" w:firstLine="560"/>
      </w:pPr>
    </w:p>
    <w:p>
      <w:pPr>
        <w:ind w:firstLine="560"/>
      </w:pPr>
    </w:p>
    <w:p>
      <w:pPr>
        <w:pStyle w:val="2"/>
        <w:ind w:left="560" w:firstLine="560"/>
      </w:pPr>
    </w:p>
    <w:p>
      <w:pPr>
        <w:ind w:firstLine="883"/>
        <w:rPr>
          <w:b/>
          <w:bCs/>
          <w:sz w:val="44"/>
          <w:szCs w:val="40"/>
        </w:rPr>
      </w:pPr>
    </w:p>
    <w:p>
      <w:pPr>
        <w:pStyle w:val="2"/>
        <w:spacing w:after="0" w:line="600" w:lineRule="exact"/>
        <w:ind w:left="560" w:firstLine="643"/>
        <w:rPr>
          <w:rFonts w:eastAsia="黑体"/>
          <w:b/>
          <w:bCs/>
          <w:sz w:val="32"/>
          <w:szCs w:val="32"/>
        </w:rPr>
      </w:pPr>
      <w:r>
        <w:rPr>
          <w:rFonts w:hint="eastAsia" w:eastAsia="黑体"/>
          <w:b/>
          <w:bCs/>
          <w:sz w:val="32"/>
          <w:szCs w:val="32"/>
        </w:rPr>
        <w:t>组织单位：</w:t>
      </w:r>
      <w:r>
        <w:rPr>
          <w:rFonts w:hint="eastAsia" w:eastAsia="黑体"/>
          <w:b/>
          <w:bCs/>
          <w:sz w:val="32"/>
          <w:szCs w:val="32"/>
        </w:rPr>
        <w:tab/>
      </w:r>
      <w:r>
        <w:rPr>
          <w:rFonts w:hint="eastAsia" w:eastAsia="黑体"/>
          <w:b/>
          <w:bCs/>
          <w:spacing w:val="179"/>
          <w:kern w:val="0"/>
          <w:sz w:val="32"/>
          <w:szCs w:val="32"/>
          <w:fitText w:val="4815" w:id="-1489829888"/>
        </w:rPr>
        <w:t>长春市九台区人民政</w:t>
      </w:r>
      <w:r>
        <w:rPr>
          <w:rFonts w:hint="eastAsia" w:eastAsia="黑体"/>
          <w:b/>
          <w:bCs/>
          <w:spacing w:val="4"/>
          <w:kern w:val="0"/>
          <w:sz w:val="32"/>
          <w:szCs w:val="32"/>
          <w:fitText w:val="4815" w:id="-1489829888"/>
        </w:rPr>
        <w:t>府</w:t>
      </w:r>
    </w:p>
    <w:p>
      <w:pPr>
        <w:pStyle w:val="2"/>
        <w:spacing w:after="0" w:line="600" w:lineRule="exact"/>
        <w:ind w:left="560" w:firstLine="643"/>
        <w:rPr>
          <w:rFonts w:eastAsia="黑体"/>
          <w:b/>
          <w:bCs/>
          <w:sz w:val="32"/>
          <w:szCs w:val="32"/>
        </w:rPr>
      </w:pPr>
      <w:r>
        <w:rPr>
          <w:rFonts w:hint="eastAsia" w:eastAsia="黑体"/>
          <w:b/>
          <w:bCs/>
          <w:sz w:val="32"/>
          <w:szCs w:val="32"/>
        </w:rPr>
        <w:t>编制单位：</w:t>
      </w:r>
      <w:r>
        <w:rPr>
          <w:rFonts w:hint="eastAsia" w:eastAsia="黑体"/>
          <w:b/>
          <w:bCs/>
          <w:sz w:val="32"/>
          <w:szCs w:val="32"/>
        </w:rPr>
        <w:tab/>
      </w:r>
      <w:r>
        <w:rPr>
          <w:rFonts w:hint="eastAsia" w:eastAsia="黑体"/>
          <w:b/>
          <w:bCs/>
          <w:spacing w:val="129"/>
          <w:kern w:val="0"/>
          <w:sz w:val="32"/>
          <w:szCs w:val="32"/>
          <w:fitText w:val="4815" w:id="-1489829888"/>
        </w:rPr>
        <w:t>长春市九台区农业农村</w:t>
      </w:r>
      <w:r>
        <w:rPr>
          <w:rFonts w:hint="eastAsia" w:eastAsia="黑体"/>
          <w:b/>
          <w:bCs/>
          <w:spacing w:val="5"/>
          <w:kern w:val="0"/>
          <w:sz w:val="32"/>
          <w:szCs w:val="32"/>
          <w:fitText w:val="4815" w:id="-1489829888"/>
        </w:rPr>
        <w:t>局</w:t>
      </w:r>
    </w:p>
    <w:p>
      <w:pPr>
        <w:pStyle w:val="2"/>
        <w:spacing w:after="0" w:line="600" w:lineRule="exact"/>
        <w:ind w:left="560" w:firstLine="2249" w:firstLineChars="700"/>
        <w:rPr>
          <w:rFonts w:eastAsia="黑体"/>
          <w:b/>
          <w:bCs/>
          <w:sz w:val="32"/>
          <w:szCs w:val="32"/>
        </w:rPr>
      </w:pPr>
      <w:r>
        <w:rPr>
          <w:rFonts w:hint="eastAsia" w:eastAsia="黑体"/>
          <w:b/>
          <w:bCs/>
          <w:sz w:val="32"/>
          <w:szCs w:val="32"/>
        </w:rPr>
        <w:tab/>
      </w:r>
      <w:r>
        <w:rPr>
          <w:rFonts w:hint="eastAsia" w:eastAsia="黑体"/>
          <w:b/>
          <w:bCs/>
          <w:sz w:val="32"/>
          <w:szCs w:val="32"/>
        </w:rPr>
        <w:t>吉林省国源建设工程设计有限公司</w:t>
      </w:r>
    </w:p>
    <w:p>
      <w:pPr>
        <w:pStyle w:val="2"/>
        <w:spacing w:after="0" w:line="600" w:lineRule="exact"/>
        <w:ind w:left="560" w:firstLine="643"/>
        <w:rPr>
          <w:rFonts w:eastAsia="黑体"/>
          <w:b/>
          <w:bCs/>
          <w:sz w:val="32"/>
          <w:szCs w:val="32"/>
        </w:rPr>
      </w:pPr>
      <w:r>
        <w:rPr>
          <w:rFonts w:hint="eastAsia" w:eastAsia="黑体"/>
          <w:b/>
          <w:bCs/>
          <w:sz w:val="32"/>
          <w:szCs w:val="32"/>
        </w:rPr>
        <w:t>编制时间：</w:t>
      </w:r>
      <w:r>
        <w:rPr>
          <w:rFonts w:hint="eastAsia" w:eastAsia="黑体"/>
          <w:b/>
          <w:bCs/>
          <w:sz w:val="32"/>
          <w:szCs w:val="32"/>
        </w:rPr>
        <w:tab/>
      </w:r>
      <w:r>
        <w:rPr>
          <w:rFonts w:eastAsia="黑体"/>
          <w:b/>
          <w:bCs/>
          <w:sz w:val="32"/>
          <w:szCs w:val="32"/>
        </w:rPr>
        <w:t xml:space="preserve">             </w:t>
      </w:r>
      <w:r>
        <w:rPr>
          <w:rFonts w:hint="eastAsia" w:eastAsia="黑体"/>
          <w:b/>
          <w:bCs/>
          <w:sz w:val="32"/>
          <w:szCs w:val="32"/>
        </w:rPr>
        <w:t>二〇二二年九月</w:t>
      </w:r>
    </w:p>
    <w:p>
      <w:pPr>
        <w:ind w:firstLine="560"/>
      </w:pPr>
    </w:p>
    <w:p>
      <w:pPr>
        <w:pStyle w:val="2"/>
        <w:ind w:left="560" w:firstLine="560"/>
        <w:sectPr>
          <w:headerReference r:id="rId7" w:type="first"/>
          <w:footerReference r:id="rId10" w:type="first"/>
          <w:headerReference r:id="rId5" w:type="default"/>
          <w:footerReference r:id="rId8" w:type="default"/>
          <w:headerReference r:id="rId6" w:type="even"/>
          <w:footerReference r:id="rId9" w:type="even"/>
          <w:pgSz w:w="11907" w:h="16840"/>
          <w:pgMar w:top="1701" w:right="1418" w:bottom="1418" w:left="1474" w:header="851" w:footer="992" w:gutter="0"/>
          <w:cols w:space="425" w:num="1"/>
          <w:docGrid w:type="lines" w:linePitch="312" w:charSpace="0"/>
        </w:sectPr>
      </w:pPr>
    </w:p>
    <w:p>
      <w:pPr>
        <w:ind w:firstLine="0" w:firstLineChars="0"/>
        <w:jc w:val="center"/>
        <w:rPr>
          <w:rFonts w:eastAsia="黑体"/>
          <w:b/>
          <w:bCs/>
          <w:sz w:val="32"/>
          <w:szCs w:val="32"/>
        </w:rPr>
      </w:pPr>
      <w:r>
        <w:rPr>
          <w:rFonts w:hint="eastAsia" w:eastAsia="黑体"/>
          <w:b/>
          <w:bCs/>
          <w:sz w:val="32"/>
          <w:szCs w:val="32"/>
        </w:rPr>
        <w:t>目 录</w:t>
      </w:r>
    </w:p>
    <w:p>
      <w:pPr>
        <w:pStyle w:val="23"/>
        <w:tabs>
          <w:tab w:val="right" w:leader="dot" w:pos="8240"/>
        </w:tabs>
        <w:rPr>
          <w:rFonts w:asciiTheme="minorHAnsi" w:hAnsiTheme="minorHAnsi" w:eastAsiaTheme="minorEastAsia"/>
          <w:sz w:val="21"/>
          <w:szCs w:val="22"/>
        </w:rPr>
      </w:pPr>
      <w:r>
        <w:rPr>
          <w:rFonts w:hint="eastAsia" w:cs="仿宋"/>
          <w:sz w:val="22"/>
        </w:rPr>
        <w:fldChar w:fldCharType="begin"/>
      </w:r>
      <w:r>
        <w:rPr>
          <w:rFonts w:hint="eastAsia" w:cs="仿宋"/>
          <w:sz w:val="22"/>
        </w:rPr>
        <w:instrText xml:space="preserve">TOC \o "1-2" \h \u </w:instrText>
      </w:r>
      <w:r>
        <w:rPr>
          <w:rFonts w:hint="eastAsia" w:cs="仿宋"/>
          <w:sz w:val="22"/>
        </w:rPr>
        <w:fldChar w:fldCharType="separate"/>
      </w:r>
      <w:r>
        <w:fldChar w:fldCharType="begin"/>
      </w:r>
      <w:r>
        <w:instrText xml:space="preserve"> HYPERLINK \l "_Toc114850763" </w:instrText>
      </w:r>
      <w:r>
        <w:fldChar w:fldCharType="separate"/>
      </w:r>
      <w:r>
        <w:rPr>
          <w:rStyle w:val="39"/>
          <w:color w:val="auto"/>
        </w:rPr>
        <w:t>前   言</w:t>
      </w:r>
      <w:r>
        <w:tab/>
      </w:r>
      <w:r>
        <w:fldChar w:fldCharType="begin"/>
      </w:r>
      <w:r>
        <w:instrText xml:space="preserve"> PAGEREF _Toc114850763 \h </w:instrText>
      </w:r>
      <w:r>
        <w:fldChar w:fldCharType="separate"/>
      </w:r>
      <w:r>
        <w:t>- 1 -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"_Toc114850764" </w:instrText>
      </w:r>
      <w:r>
        <w:fldChar w:fldCharType="separate"/>
      </w:r>
      <w:r>
        <w:rPr>
          <w:rStyle w:val="39"/>
          <w:color w:val="auto"/>
        </w:rPr>
        <w:t>一、 规划区概况</w:t>
      </w:r>
      <w:r>
        <w:tab/>
      </w:r>
      <w:r>
        <w:fldChar w:fldCharType="begin"/>
      </w:r>
      <w:r>
        <w:instrText xml:space="preserve"> PAGEREF _Toc114850764 \h </w:instrText>
      </w:r>
      <w:r>
        <w:fldChar w:fldCharType="separate"/>
      </w:r>
      <w:r>
        <w:t>- 1 -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"_Toc114850765" </w:instrText>
      </w:r>
      <w:r>
        <w:fldChar w:fldCharType="separate"/>
      </w:r>
      <w:r>
        <w:rPr>
          <w:rStyle w:val="39"/>
          <w:rFonts w:ascii="仿宋" w:hAnsi="仿宋"/>
          <w:color w:val="auto"/>
        </w:rPr>
        <w:t>（一）</w:t>
      </w:r>
      <w:r>
        <w:rPr>
          <w:rStyle w:val="39"/>
          <w:color w:val="auto"/>
        </w:rPr>
        <w:t xml:space="preserve"> 自然概况</w:t>
      </w:r>
      <w:r>
        <w:tab/>
      </w:r>
      <w:r>
        <w:fldChar w:fldCharType="begin"/>
      </w:r>
      <w:r>
        <w:instrText xml:space="preserve"> PAGEREF _Toc114850765 \h </w:instrText>
      </w:r>
      <w:r>
        <w:fldChar w:fldCharType="separate"/>
      </w:r>
      <w:r>
        <w:t>- 1 -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"_Toc114850766" </w:instrText>
      </w:r>
      <w:r>
        <w:fldChar w:fldCharType="separate"/>
      </w:r>
      <w:r>
        <w:rPr>
          <w:rStyle w:val="39"/>
          <w:rFonts w:ascii="仿宋" w:hAnsi="仿宋"/>
          <w:color w:val="auto"/>
        </w:rPr>
        <w:t>（二）</w:t>
      </w:r>
      <w:r>
        <w:rPr>
          <w:rStyle w:val="39"/>
          <w:color w:val="auto"/>
        </w:rPr>
        <w:t xml:space="preserve"> 社会经济状况</w:t>
      </w:r>
      <w:r>
        <w:tab/>
      </w:r>
      <w:r>
        <w:fldChar w:fldCharType="begin"/>
      </w:r>
      <w:r>
        <w:instrText xml:space="preserve"> PAGEREF _Toc114850766 \h </w:instrText>
      </w:r>
      <w:r>
        <w:fldChar w:fldCharType="separate"/>
      </w:r>
      <w:r>
        <w:t>- 5 -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"_Toc114850767" </w:instrText>
      </w:r>
      <w:r>
        <w:fldChar w:fldCharType="separate"/>
      </w:r>
      <w:r>
        <w:rPr>
          <w:rStyle w:val="39"/>
          <w:rFonts w:ascii="仿宋" w:hAnsi="仿宋"/>
          <w:color w:val="auto"/>
        </w:rPr>
        <w:t>（三）</w:t>
      </w:r>
      <w:r>
        <w:rPr>
          <w:rStyle w:val="39"/>
          <w:color w:val="auto"/>
        </w:rPr>
        <w:t xml:space="preserve"> 耕地情况</w:t>
      </w:r>
      <w:r>
        <w:tab/>
      </w:r>
      <w:r>
        <w:fldChar w:fldCharType="begin"/>
      </w:r>
      <w:r>
        <w:instrText xml:space="preserve"> PAGEREF _Toc114850767 \h </w:instrText>
      </w:r>
      <w:r>
        <w:fldChar w:fldCharType="separate"/>
      </w:r>
      <w:r>
        <w:t>- 7 -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"_Toc114850768" </w:instrText>
      </w:r>
      <w:r>
        <w:fldChar w:fldCharType="separate"/>
      </w:r>
      <w:r>
        <w:rPr>
          <w:rStyle w:val="39"/>
          <w:rFonts w:ascii="仿宋" w:hAnsi="仿宋"/>
          <w:color w:val="auto"/>
        </w:rPr>
        <w:t>（四）</w:t>
      </w:r>
      <w:r>
        <w:rPr>
          <w:rStyle w:val="39"/>
          <w:color w:val="auto"/>
        </w:rPr>
        <w:t xml:space="preserve"> 高标准农田建设情况</w:t>
      </w:r>
      <w:r>
        <w:tab/>
      </w:r>
      <w:r>
        <w:fldChar w:fldCharType="begin"/>
      </w:r>
      <w:r>
        <w:instrText xml:space="preserve"> PAGEREF _Toc114850768 \h </w:instrText>
      </w:r>
      <w:r>
        <w:fldChar w:fldCharType="separate"/>
      </w:r>
      <w:r>
        <w:t>- 10 -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"_Toc114850769" </w:instrText>
      </w:r>
      <w:r>
        <w:fldChar w:fldCharType="separate"/>
      </w:r>
      <w:r>
        <w:rPr>
          <w:rStyle w:val="39"/>
          <w:color w:val="auto"/>
        </w:rPr>
        <w:t>二、 发展形势</w:t>
      </w:r>
      <w:r>
        <w:tab/>
      </w:r>
      <w:r>
        <w:fldChar w:fldCharType="begin"/>
      </w:r>
      <w:r>
        <w:instrText xml:space="preserve"> PAGEREF _Toc114850769 \h </w:instrText>
      </w:r>
      <w:r>
        <w:fldChar w:fldCharType="separate"/>
      </w:r>
      <w:r>
        <w:t>- 12 -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"_Toc114850770" </w:instrText>
      </w:r>
      <w:r>
        <w:fldChar w:fldCharType="separate"/>
      </w:r>
      <w:r>
        <w:rPr>
          <w:rStyle w:val="39"/>
          <w:rFonts w:ascii="仿宋" w:hAnsi="仿宋"/>
          <w:color w:val="auto"/>
        </w:rPr>
        <w:t>（一）</w:t>
      </w:r>
      <w:r>
        <w:rPr>
          <w:rStyle w:val="39"/>
          <w:color w:val="auto"/>
        </w:rPr>
        <w:t xml:space="preserve"> 建设成效</w:t>
      </w:r>
      <w:r>
        <w:tab/>
      </w:r>
      <w:r>
        <w:fldChar w:fldCharType="begin"/>
      </w:r>
      <w:r>
        <w:instrText xml:space="preserve"> PAGEREF _Toc114850770 \h </w:instrText>
      </w:r>
      <w:r>
        <w:fldChar w:fldCharType="separate"/>
      </w:r>
      <w:r>
        <w:t>- 12 -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"_Toc114850771" </w:instrText>
      </w:r>
      <w:r>
        <w:fldChar w:fldCharType="separate"/>
      </w:r>
      <w:r>
        <w:rPr>
          <w:rStyle w:val="39"/>
          <w:rFonts w:ascii="仿宋" w:hAnsi="仿宋"/>
          <w:color w:val="auto"/>
        </w:rPr>
        <w:t>（二）</w:t>
      </w:r>
      <w:r>
        <w:rPr>
          <w:rStyle w:val="39"/>
          <w:color w:val="auto"/>
        </w:rPr>
        <w:t xml:space="preserve"> 建设经验</w:t>
      </w:r>
      <w:r>
        <w:tab/>
      </w:r>
      <w:r>
        <w:fldChar w:fldCharType="begin"/>
      </w:r>
      <w:r>
        <w:instrText xml:space="preserve"> PAGEREF _Toc114850771 \h </w:instrText>
      </w:r>
      <w:r>
        <w:fldChar w:fldCharType="separate"/>
      </w:r>
      <w:r>
        <w:t>- 14 -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"_Toc114850772" </w:instrText>
      </w:r>
      <w:r>
        <w:fldChar w:fldCharType="separate"/>
      </w:r>
      <w:r>
        <w:rPr>
          <w:rStyle w:val="39"/>
          <w:rFonts w:ascii="仿宋" w:hAnsi="仿宋"/>
          <w:color w:val="auto"/>
        </w:rPr>
        <w:t>（三）</w:t>
      </w:r>
      <w:r>
        <w:rPr>
          <w:rStyle w:val="39"/>
          <w:color w:val="auto"/>
        </w:rPr>
        <w:t xml:space="preserve"> 有利条件</w:t>
      </w:r>
      <w:r>
        <w:tab/>
      </w:r>
      <w:r>
        <w:fldChar w:fldCharType="begin"/>
      </w:r>
      <w:r>
        <w:instrText xml:space="preserve"> PAGEREF _Toc114850772 \h </w:instrText>
      </w:r>
      <w:r>
        <w:fldChar w:fldCharType="separate"/>
      </w:r>
      <w:r>
        <w:t>- 15 -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"_Toc114850773" </w:instrText>
      </w:r>
      <w:r>
        <w:fldChar w:fldCharType="separate"/>
      </w:r>
      <w:r>
        <w:rPr>
          <w:rStyle w:val="39"/>
          <w:rFonts w:ascii="仿宋" w:hAnsi="仿宋"/>
          <w:color w:val="auto"/>
        </w:rPr>
        <w:t>（四）</w:t>
      </w:r>
      <w:r>
        <w:rPr>
          <w:rStyle w:val="39"/>
          <w:color w:val="auto"/>
        </w:rPr>
        <w:t xml:space="preserve"> 存在问题</w:t>
      </w:r>
      <w:r>
        <w:tab/>
      </w:r>
      <w:r>
        <w:fldChar w:fldCharType="begin"/>
      </w:r>
      <w:r>
        <w:instrText xml:space="preserve"> PAGEREF _Toc114850773 \h </w:instrText>
      </w:r>
      <w:r>
        <w:fldChar w:fldCharType="separate"/>
      </w:r>
      <w:r>
        <w:t>- 17 -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"_Toc114850774" </w:instrText>
      </w:r>
      <w:r>
        <w:fldChar w:fldCharType="separate"/>
      </w:r>
      <w:r>
        <w:rPr>
          <w:rStyle w:val="39"/>
          <w:rFonts w:ascii="仿宋" w:hAnsi="仿宋"/>
          <w:color w:val="auto"/>
        </w:rPr>
        <w:t>（五）</w:t>
      </w:r>
      <w:r>
        <w:rPr>
          <w:rStyle w:val="39"/>
          <w:color w:val="auto"/>
        </w:rPr>
        <w:t xml:space="preserve"> 必要性分析</w:t>
      </w:r>
      <w:r>
        <w:tab/>
      </w:r>
      <w:r>
        <w:fldChar w:fldCharType="begin"/>
      </w:r>
      <w:r>
        <w:instrText xml:space="preserve"> PAGEREF _Toc114850774 \h </w:instrText>
      </w:r>
      <w:r>
        <w:fldChar w:fldCharType="separate"/>
      </w:r>
      <w:r>
        <w:t>- 19 -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"_Toc114850775" </w:instrText>
      </w:r>
      <w:r>
        <w:fldChar w:fldCharType="separate"/>
      </w:r>
      <w:r>
        <w:rPr>
          <w:rStyle w:val="39"/>
          <w:color w:val="auto"/>
        </w:rPr>
        <w:t>三、 总体要求</w:t>
      </w:r>
      <w:r>
        <w:tab/>
      </w:r>
      <w:r>
        <w:fldChar w:fldCharType="begin"/>
      </w:r>
      <w:r>
        <w:instrText xml:space="preserve"> PAGEREF _Toc114850775 \h </w:instrText>
      </w:r>
      <w:r>
        <w:fldChar w:fldCharType="separate"/>
      </w:r>
      <w:r>
        <w:t>- 21 -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"_Toc114850776" </w:instrText>
      </w:r>
      <w:r>
        <w:fldChar w:fldCharType="separate"/>
      </w:r>
      <w:r>
        <w:rPr>
          <w:rStyle w:val="39"/>
          <w:rFonts w:ascii="仿宋" w:hAnsi="仿宋"/>
          <w:color w:val="auto"/>
        </w:rPr>
        <w:t>（一）</w:t>
      </w:r>
      <w:r>
        <w:rPr>
          <w:rStyle w:val="39"/>
          <w:color w:val="auto"/>
        </w:rPr>
        <w:t xml:space="preserve"> 指导思想</w:t>
      </w:r>
      <w:r>
        <w:tab/>
      </w:r>
      <w:r>
        <w:fldChar w:fldCharType="begin"/>
      </w:r>
      <w:r>
        <w:instrText xml:space="preserve"> PAGEREF _Toc114850776 \h </w:instrText>
      </w:r>
      <w:r>
        <w:fldChar w:fldCharType="separate"/>
      </w:r>
      <w:r>
        <w:t>- 21 -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"_Toc114850777" </w:instrText>
      </w:r>
      <w:r>
        <w:fldChar w:fldCharType="separate"/>
      </w:r>
      <w:r>
        <w:rPr>
          <w:rStyle w:val="39"/>
          <w:rFonts w:ascii="仿宋" w:hAnsi="仿宋"/>
          <w:color w:val="auto"/>
        </w:rPr>
        <w:t>（二）</w:t>
      </w:r>
      <w:r>
        <w:rPr>
          <w:rStyle w:val="39"/>
          <w:color w:val="auto"/>
        </w:rPr>
        <w:t xml:space="preserve"> 基本原则</w:t>
      </w:r>
      <w:r>
        <w:tab/>
      </w:r>
      <w:r>
        <w:fldChar w:fldCharType="begin"/>
      </w:r>
      <w:r>
        <w:instrText xml:space="preserve"> PAGEREF _Toc114850777 \h </w:instrText>
      </w:r>
      <w:r>
        <w:fldChar w:fldCharType="separate"/>
      </w:r>
      <w:r>
        <w:t>- 22 -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"_Toc114850778" </w:instrText>
      </w:r>
      <w:r>
        <w:fldChar w:fldCharType="separate"/>
      </w:r>
      <w:r>
        <w:rPr>
          <w:rStyle w:val="39"/>
          <w:rFonts w:ascii="仿宋" w:hAnsi="仿宋"/>
          <w:color w:val="auto"/>
        </w:rPr>
        <w:t>（三）</w:t>
      </w:r>
      <w:r>
        <w:rPr>
          <w:rStyle w:val="39"/>
          <w:color w:val="auto"/>
        </w:rPr>
        <w:t xml:space="preserve"> 规划依据</w:t>
      </w:r>
      <w:r>
        <w:tab/>
      </w:r>
      <w:r>
        <w:fldChar w:fldCharType="begin"/>
      </w:r>
      <w:r>
        <w:instrText xml:space="preserve"> PAGEREF _Toc114850778 \h </w:instrText>
      </w:r>
      <w:r>
        <w:fldChar w:fldCharType="separate"/>
      </w:r>
      <w:r>
        <w:t>- 23 -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"_Toc114850779" </w:instrText>
      </w:r>
      <w:r>
        <w:fldChar w:fldCharType="separate"/>
      </w:r>
      <w:r>
        <w:rPr>
          <w:rStyle w:val="39"/>
          <w:rFonts w:ascii="仿宋" w:hAnsi="仿宋"/>
          <w:color w:val="auto"/>
        </w:rPr>
        <w:t>（四）</w:t>
      </w:r>
      <w:r>
        <w:rPr>
          <w:rStyle w:val="39"/>
          <w:color w:val="auto"/>
        </w:rPr>
        <w:t xml:space="preserve"> 规划期限和规划范围</w:t>
      </w:r>
      <w:r>
        <w:tab/>
      </w:r>
      <w:r>
        <w:fldChar w:fldCharType="begin"/>
      </w:r>
      <w:r>
        <w:instrText xml:space="preserve"> PAGEREF _Toc114850779 \h </w:instrText>
      </w:r>
      <w:r>
        <w:fldChar w:fldCharType="separate"/>
      </w:r>
      <w:r>
        <w:t>- 26 -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"_Toc114850780" </w:instrText>
      </w:r>
      <w:r>
        <w:fldChar w:fldCharType="separate"/>
      </w:r>
      <w:r>
        <w:rPr>
          <w:rStyle w:val="39"/>
          <w:rFonts w:ascii="仿宋" w:hAnsi="仿宋"/>
          <w:color w:val="auto"/>
        </w:rPr>
        <w:t>（五）</w:t>
      </w:r>
      <w:r>
        <w:rPr>
          <w:rStyle w:val="39"/>
          <w:color w:val="auto"/>
        </w:rPr>
        <w:t xml:space="preserve"> 项目类型划分原则</w:t>
      </w:r>
      <w:r>
        <w:tab/>
      </w:r>
      <w:r>
        <w:fldChar w:fldCharType="begin"/>
      </w:r>
      <w:r>
        <w:instrText xml:space="preserve"> PAGEREF _Toc114850780 \h </w:instrText>
      </w:r>
      <w:r>
        <w:fldChar w:fldCharType="separate"/>
      </w:r>
      <w:r>
        <w:t>- 26 -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"_Toc114850781" </w:instrText>
      </w:r>
      <w:r>
        <w:fldChar w:fldCharType="separate"/>
      </w:r>
      <w:r>
        <w:rPr>
          <w:rStyle w:val="39"/>
          <w:rFonts w:ascii="仿宋" w:hAnsi="仿宋"/>
          <w:color w:val="auto"/>
          <w:lang w:bidi="ar"/>
        </w:rPr>
        <w:t>（六）</w:t>
      </w:r>
      <w:r>
        <w:rPr>
          <w:rStyle w:val="39"/>
          <w:color w:val="auto"/>
          <w:lang w:bidi="ar"/>
        </w:rPr>
        <w:t xml:space="preserve"> 与上位规划的衔接</w:t>
      </w:r>
      <w:r>
        <w:tab/>
      </w:r>
      <w:r>
        <w:fldChar w:fldCharType="begin"/>
      </w:r>
      <w:r>
        <w:instrText xml:space="preserve"> PAGEREF _Toc114850781 \h </w:instrText>
      </w:r>
      <w:r>
        <w:fldChar w:fldCharType="separate"/>
      </w:r>
      <w:r>
        <w:t>- 27 -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"_Toc114850782" </w:instrText>
      </w:r>
      <w:r>
        <w:fldChar w:fldCharType="separate"/>
      </w:r>
      <w:r>
        <w:rPr>
          <w:rStyle w:val="39"/>
          <w:rFonts w:ascii="仿宋" w:hAnsi="仿宋"/>
          <w:color w:val="auto"/>
        </w:rPr>
        <w:t>（七）</w:t>
      </w:r>
      <w:r>
        <w:rPr>
          <w:rStyle w:val="39"/>
          <w:color w:val="auto"/>
        </w:rPr>
        <w:t xml:space="preserve"> 总体目标</w:t>
      </w:r>
      <w:r>
        <w:tab/>
      </w:r>
      <w:r>
        <w:fldChar w:fldCharType="begin"/>
      </w:r>
      <w:r>
        <w:instrText xml:space="preserve"> PAGEREF _Toc114850782 \h </w:instrText>
      </w:r>
      <w:r>
        <w:fldChar w:fldCharType="separate"/>
      </w:r>
      <w:r>
        <w:t>- 27 -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"_Toc114850783" </w:instrText>
      </w:r>
      <w:r>
        <w:fldChar w:fldCharType="separate"/>
      </w:r>
      <w:r>
        <w:rPr>
          <w:rStyle w:val="39"/>
          <w:color w:val="auto"/>
        </w:rPr>
        <w:t>四、 建设标准及主要建设内容</w:t>
      </w:r>
      <w:r>
        <w:tab/>
      </w:r>
      <w:r>
        <w:fldChar w:fldCharType="begin"/>
      </w:r>
      <w:r>
        <w:instrText xml:space="preserve"> PAGEREF _Toc114850783 \h </w:instrText>
      </w:r>
      <w:r>
        <w:fldChar w:fldCharType="separate"/>
      </w:r>
      <w:r>
        <w:t>- 30 -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"_Toc114850784" </w:instrText>
      </w:r>
      <w:r>
        <w:fldChar w:fldCharType="separate"/>
      </w:r>
      <w:r>
        <w:rPr>
          <w:rStyle w:val="39"/>
          <w:rFonts w:ascii="仿宋" w:hAnsi="仿宋"/>
          <w:color w:val="auto"/>
        </w:rPr>
        <w:t>（一）</w:t>
      </w:r>
      <w:r>
        <w:rPr>
          <w:rStyle w:val="39"/>
          <w:color w:val="auto"/>
        </w:rPr>
        <w:t xml:space="preserve"> 田块整治</w:t>
      </w:r>
      <w:r>
        <w:tab/>
      </w:r>
      <w:r>
        <w:fldChar w:fldCharType="begin"/>
      </w:r>
      <w:r>
        <w:instrText xml:space="preserve"> PAGEREF _Toc114850784 \h </w:instrText>
      </w:r>
      <w:r>
        <w:fldChar w:fldCharType="separate"/>
      </w:r>
      <w:r>
        <w:t>- 30 -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"_Toc114850785" </w:instrText>
      </w:r>
      <w:r>
        <w:fldChar w:fldCharType="separate"/>
      </w:r>
      <w:r>
        <w:rPr>
          <w:rStyle w:val="39"/>
          <w:rFonts w:ascii="仿宋" w:hAnsi="仿宋"/>
          <w:color w:val="auto"/>
        </w:rPr>
        <w:t>（二）</w:t>
      </w:r>
      <w:r>
        <w:rPr>
          <w:rStyle w:val="39"/>
          <w:color w:val="auto"/>
        </w:rPr>
        <w:t xml:space="preserve"> 土壤改良</w:t>
      </w:r>
      <w:r>
        <w:tab/>
      </w:r>
      <w:r>
        <w:fldChar w:fldCharType="begin"/>
      </w:r>
      <w:r>
        <w:instrText xml:space="preserve"> PAGEREF _Toc114850785 \h </w:instrText>
      </w:r>
      <w:r>
        <w:fldChar w:fldCharType="separate"/>
      </w:r>
      <w:r>
        <w:t>- 31 -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"_Toc114850786" </w:instrText>
      </w:r>
      <w:r>
        <w:fldChar w:fldCharType="separate"/>
      </w:r>
      <w:r>
        <w:rPr>
          <w:rStyle w:val="39"/>
          <w:rFonts w:ascii="仿宋" w:hAnsi="仿宋"/>
          <w:color w:val="auto"/>
        </w:rPr>
        <w:t>（三）</w:t>
      </w:r>
      <w:r>
        <w:rPr>
          <w:rStyle w:val="39"/>
          <w:color w:val="auto"/>
        </w:rPr>
        <w:t xml:space="preserve"> 灌溉和排水</w:t>
      </w:r>
      <w:r>
        <w:tab/>
      </w:r>
      <w:r>
        <w:fldChar w:fldCharType="begin"/>
      </w:r>
      <w:r>
        <w:instrText xml:space="preserve"> PAGEREF _Toc114850786 \h </w:instrText>
      </w:r>
      <w:r>
        <w:fldChar w:fldCharType="separate"/>
      </w:r>
      <w:r>
        <w:t>- 31 -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"_Toc114850787" </w:instrText>
      </w:r>
      <w:r>
        <w:fldChar w:fldCharType="separate"/>
      </w:r>
      <w:r>
        <w:rPr>
          <w:rStyle w:val="39"/>
          <w:rFonts w:ascii="仿宋" w:hAnsi="仿宋"/>
          <w:color w:val="auto"/>
        </w:rPr>
        <w:t>（四）</w:t>
      </w:r>
      <w:r>
        <w:rPr>
          <w:rStyle w:val="39"/>
          <w:color w:val="auto"/>
        </w:rPr>
        <w:t xml:space="preserve"> 田间道路</w:t>
      </w:r>
      <w:r>
        <w:tab/>
      </w:r>
      <w:r>
        <w:fldChar w:fldCharType="begin"/>
      </w:r>
      <w:r>
        <w:instrText xml:space="preserve"> PAGEREF _Toc114850787 \h </w:instrText>
      </w:r>
      <w:r>
        <w:fldChar w:fldCharType="separate"/>
      </w:r>
      <w:r>
        <w:t>- 32 -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"_Toc114850788" </w:instrText>
      </w:r>
      <w:r>
        <w:fldChar w:fldCharType="separate"/>
      </w:r>
      <w:r>
        <w:rPr>
          <w:rStyle w:val="39"/>
          <w:rFonts w:ascii="仿宋" w:hAnsi="仿宋"/>
          <w:color w:val="auto"/>
        </w:rPr>
        <w:t>（五）</w:t>
      </w:r>
      <w:r>
        <w:rPr>
          <w:rStyle w:val="39"/>
          <w:color w:val="auto"/>
        </w:rPr>
        <w:t xml:space="preserve"> 农田防护和生态环境保护</w:t>
      </w:r>
      <w:r>
        <w:tab/>
      </w:r>
      <w:r>
        <w:fldChar w:fldCharType="begin"/>
      </w:r>
      <w:r>
        <w:instrText xml:space="preserve"> PAGEREF _Toc114850788 \h </w:instrText>
      </w:r>
      <w:r>
        <w:fldChar w:fldCharType="separate"/>
      </w:r>
      <w:r>
        <w:t>- 33 -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"_Toc114850789" </w:instrText>
      </w:r>
      <w:r>
        <w:fldChar w:fldCharType="separate"/>
      </w:r>
      <w:r>
        <w:rPr>
          <w:rStyle w:val="39"/>
          <w:rFonts w:ascii="仿宋" w:hAnsi="仿宋"/>
          <w:color w:val="auto"/>
        </w:rPr>
        <w:t>（六）</w:t>
      </w:r>
      <w:r>
        <w:rPr>
          <w:rStyle w:val="39"/>
          <w:color w:val="auto"/>
        </w:rPr>
        <w:t xml:space="preserve"> 农田输配电</w:t>
      </w:r>
      <w:r>
        <w:tab/>
      </w:r>
      <w:r>
        <w:fldChar w:fldCharType="begin"/>
      </w:r>
      <w:r>
        <w:instrText xml:space="preserve"> PAGEREF _Toc114850789 \h </w:instrText>
      </w:r>
      <w:r>
        <w:fldChar w:fldCharType="separate"/>
      </w:r>
      <w:r>
        <w:t>- 34 -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"_Toc114850790" </w:instrText>
      </w:r>
      <w:r>
        <w:fldChar w:fldCharType="separate"/>
      </w:r>
      <w:r>
        <w:rPr>
          <w:rStyle w:val="39"/>
          <w:rFonts w:ascii="仿宋" w:hAnsi="仿宋"/>
          <w:color w:val="auto"/>
        </w:rPr>
        <w:t>（七）</w:t>
      </w:r>
      <w:r>
        <w:rPr>
          <w:rStyle w:val="39"/>
          <w:color w:val="auto"/>
        </w:rPr>
        <w:t xml:space="preserve"> 科技服务</w:t>
      </w:r>
      <w:r>
        <w:tab/>
      </w:r>
      <w:r>
        <w:fldChar w:fldCharType="begin"/>
      </w:r>
      <w:r>
        <w:instrText xml:space="preserve"> PAGEREF _Toc114850790 \h </w:instrText>
      </w:r>
      <w:r>
        <w:fldChar w:fldCharType="separate"/>
      </w:r>
      <w:r>
        <w:t>- 34 -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"_Toc114850791" </w:instrText>
      </w:r>
      <w:r>
        <w:fldChar w:fldCharType="separate"/>
      </w:r>
      <w:r>
        <w:rPr>
          <w:rStyle w:val="39"/>
          <w:rFonts w:ascii="仿宋" w:hAnsi="仿宋"/>
          <w:color w:val="auto"/>
        </w:rPr>
        <w:t>（八）</w:t>
      </w:r>
      <w:r>
        <w:rPr>
          <w:rStyle w:val="39"/>
          <w:color w:val="auto"/>
        </w:rPr>
        <w:t xml:space="preserve"> 管护利用</w:t>
      </w:r>
      <w:r>
        <w:tab/>
      </w:r>
      <w:r>
        <w:fldChar w:fldCharType="begin"/>
      </w:r>
      <w:r>
        <w:instrText xml:space="preserve"> PAGEREF _Toc114850791 \h </w:instrText>
      </w:r>
      <w:r>
        <w:fldChar w:fldCharType="separate"/>
      </w:r>
      <w:r>
        <w:t>- 35 -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"_Toc114850792" </w:instrText>
      </w:r>
      <w:r>
        <w:fldChar w:fldCharType="separate"/>
      </w:r>
      <w:r>
        <w:rPr>
          <w:rStyle w:val="39"/>
          <w:color w:val="auto"/>
        </w:rPr>
        <w:t>五、 建设任务与建设重点</w:t>
      </w:r>
      <w:r>
        <w:tab/>
      </w:r>
      <w:r>
        <w:fldChar w:fldCharType="begin"/>
      </w:r>
      <w:r>
        <w:instrText xml:space="preserve"> PAGEREF _Toc114850792 \h </w:instrText>
      </w:r>
      <w:r>
        <w:fldChar w:fldCharType="separate"/>
      </w:r>
      <w:r>
        <w:t>- 36 -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"_Toc114850793" </w:instrText>
      </w:r>
      <w:r>
        <w:fldChar w:fldCharType="separate"/>
      </w:r>
      <w:r>
        <w:rPr>
          <w:rStyle w:val="39"/>
          <w:rFonts w:ascii="仿宋" w:hAnsi="仿宋"/>
          <w:color w:val="auto"/>
        </w:rPr>
        <w:t>（一）</w:t>
      </w:r>
      <w:r>
        <w:rPr>
          <w:rStyle w:val="39"/>
          <w:color w:val="auto"/>
        </w:rPr>
        <w:t xml:space="preserve"> 新增建设项目</w:t>
      </w:r>
      <w:r>
        <w:tab/>
      </w:r>
      <w:r>
        <w:fldChar w:fldCharType="begin"/>
      </w:r>
      <w:r>
        <w:instrText xml:space="preserve"> PAGEREF _Toc114850793 \h </w:instrText>
      </w:r>
      <w:r>
        <w:fldChar w:fldCharType="separate"/>
      </w:r>
      <w:r>
        <w:t>- 36 -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"_Toc114850794" </w:instrText>
      </w:r>
      <w:r>
        <w:fldChar w:fldCharType="separate"/>
      </w:r>
      <w:r>
        <w:rPr>
          <w:rStyle w:val="39"/>
          <w:rFonts w:ascii="仿宋" w:hAnsi="仿宋"/>
          <w:color w:val="auto"/>
        </w:rPr>
        <w:t>（二）</w:t>
      </w:r>
      <w:r>
        <w:rPr>
          <w:rStyle w:val="39"/>
          <w:color w:val="auto"/>
        </w:rPr>
        <w:t xml:space="preserve"> 改造提升项目</w:t>
      </w:r>
      <w:r>
        <w:tab/>
      </w:r>
      <w:r>
        <w:fldChar w:fldCharType="begin"/>
      </w:r>
      <w:r>
        <w:instrText xml:space="preserve"> PAGEREF _Toc114850794 \h </w:instrText>
      </w:r>
      <w:r>
        <w:fldChar w:fldCharType="separate"/>
      </w:r>
      <w:r>
        <w:t>- 39 -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"_Toc114850795" </w:instrText>
      </w:r>
      <w:r>
        <w:fldChar w:fldCharType="separate"/>
      </w:r>
      <w:r>
        <w:rPr>
          <w:rStyle w:val="39"/>
          <w:rFonts w:ascii="仿宋" w:hAnsi="仿宋"/>
          <w:color w:val="auto"/>
        </w:rPr>
        <w:t>（三）</w:t>
      </w:r>
      <w:r>
        <w:rPr>
          <w:rStyle w:val="39"/>
          <w:color w:val="auto"/>
        </w:rPr>
        <w:t xml:space="preserve"> 黑土地保护建设项目</w:t>
      </w:r>
      <w:r>
        <w:tab/>
      </w:r>
      <w:r>
        <w:fldChar w:fldCharType="begin"/>
      </w:r>
      <w:r>
        <w:instrText xml:space="preserve"> PAGEREF _Toc114850795 \h </w:instrText>
      </w:r>
      <w:r>
        <w:fldChar w:fldCharType="separate"/>
      </w:r>
      <w:r>
        <w:t>- 42 -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"_Toc114850796" </w:instrText>
      </w:r>
      <w:r>
        <w:fldChar w:fldCharType="separate"/>
      </w:r>
      <w:r>
        <w:rPr>
          <w:rStyle w:val="39"/>
          <w:rFonts w:ascii="仿宋" w:hAnsi="仿宋"/>
          <w:color w:val="auto"/>
        </w:rPr>
        <w:t>（四）</w:t>
      </w:r>
      <w:r>
        <w:rPr>
          <w:rStyle w:val="39"/>
          <w:color w:val="auto"/>
        </w:rPr>
        <w:t xml:space="preserve"> 高标准农田示范区建设项目</w:t>
      </w:r>
      <w:r>
        <w:tab/>
      </w:r>
      <w:r>
        <w:fldChar w:fldCharType="begin"/>
      </w:r>
      <w:r>
        <w:instrText xml:space="preserve"> PAGEREF _Toc114850796 \h </w:instrText>
      </w:r>
      <w:r>
        <w:fldChar w:fldCharType="separate"/>
      </w:r>
      <w:r>
        <w:t>- 45 -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"_Toc114850797" </w:instrText>
      </w:r>
      <w:r>
        <w:fldChar w:fldCharType="separate"/>
      </w:r>
      <w:r>
        <w:rPr>
          <w:rStyle w:val="39"/>
          <w:rFonts w:ascii="仿宋" w:hAnsi="仿宋"/>
          <w:color w:val="auto"/>
        </w:rPr>
        <w:t>（五）</w:t>
      </w:r>
      <w:r>
        <w:rPr>
          <w:rStyle w:val="39"/>
          <w:color w:val="auto"/>
        </w:rPr>
        <w:t xml:space="preserve"> 高标准农田建设项目储备计划</w:t>
      </w:r>
      <w:r>
        <w:tab/>
      </w:r>
      <w:r>
        <w:fldChar w:fldCharType="begin"/>
      </w:r>
      <w:r>
        <w:instrText xml:space="preserve"> PAGEREF _Toc114850797 \h </w:instrText>
      </w:r>
      <w:r>
        <w:fldChar w:fldCharType="separate"/>
      </w:r>
      <w:r>
        <w:t>- 47 -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"_Toc114850798" </w:instrText>
      </w:r>
      <w:r>
        <w:fldChar w:fldCharType="separate"/>
      </w:r>
      <w:r>
        <w:rPr>
          <w:rStyle w:val="39"/>
          <w:color w:val="auto"/>
        </w:rPr>
        <w:t>六、 建设监管和后续管护</w:t>
      </w:r>
      <w:r>
        <w:tab/>
      </w:r>
      <w:r>
        <w:fldChar w:fldCharType="begin"/>
      </w:r>
      <w:r>
        <w:instrText xml:space="preserve"> PAGEREF _Toc114850798 \h </w:instrText>
      </w:r>
      <w:r>
        <w:fldChar w:fldCharType="separate"/>
      </w:r>
      <w:r>
        <w:t>- 49 -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"_Toc114850799" </w:instrText>
      </w:r>
      <w:r>
        <w:fldChar w:fldCharType="separate"/>
      </w:r>
      <w:r>
        <w:rPr>
          <w:rStyle w:val="39"/>
          <w:rFonts w:ascii="仿宋" w:hAnsi="仿宋"/>
          <w:color w:val="auto"/>
        </w:rPr>
        <w:t>（一）</w:t>
      </w:r>
      <w:r>
        <w:rPr>
          <w:rStyle w:val="39"/>
          <w:color w:val="auto"/>
        </w:rPr>
        <w:t xml:space="preserve"> 严格建设监管</w:t>
      </w:r>
      <w:r>
        <w:tab/>
      </w:r>
      <w:r>
        <w:fldChar w:fldCharType="begin"/>
      </w:r>
      <w:r>
        <w:instrText xml:space="preserve"> PAGEREF _Toc114850799 \h </w:instrText>
      </w:r>
      <w:r>
        <w:fldChar w:fldCharType="separate"/>
      </w:r>
      <w:r>
        <w:t>- 49 -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"_Toc114850800" </w:instrText>
      </w:r>
      <w:r>
        <w:fldChar w:fldCharType="separate"/>
      </w:r>
      <w:r>
        <w:rPr>
          <w:rStyle w:val="39"/>
          <w:rFonts w:ascii="仿宋" w:hAnsi="仿宋"/>
          <w:color w:val="auto"/>
        </w:rPr>
        <w:t>（二）</w:t>
      </w:r>
      <w:r>
        <w:rPr>
          <w:rStyle w:val="39"/>
          <w:color w:val="auto"/>
        </w:rPr>
        <w:t xml:space="preserve"> 统一上图入库</w:t>
      </w:r>
      <w:r>
        <w:tab/>
      </w:r>
      <w:r>
        <w:fldChar w:fldCharType="begin"/>
      </w:r>
      <w:r>
        <w:instrText xml:space="preserve"> PAGEREF _Toc114850800 \h </w:instrText>
      </w:r>
      <w:r>
        <w:fldChar w:fldCharType="separate"/>
      </w:r>
      <w:r>
        <w:t>- 52 -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"_Toc114850801" </w:instrText>
      </w:r>
      <w:r>
        <w:fldChar w:fldCharType="separate"/>
      </w:r>
      <w:r>
        <w:rPr>
          <w:rStyle w:val="39"/>
          <w:rFonts w:ascii="仿宋" w:hAnsi="仿宋"/>
          <w:color w:val="auto"/>
        </w:rPr>
        <w:t>（三）</w:t>
      </w:r>
      <w:r>
        <w:rPr>
          <w:rStyle w:val="39"/>
          <w:color w:val="auto"/>
        </w:rPr>
        <w:t xml:space="preserve"> 规范竣工验收</w:t>
      </w:r>
      <w:r>
        <w:tab/>
      </w:r>
      <w:r>
        <w:fldChar w:fldCharType="begin"/>
      </w:r>
      <w:r>
        <w:instrText xml:space="preserve"> PAGEREF _Toc114850801 \h </w:instrText>
      </w:r>
      <w:r>
        <w:fldChar w:fldCharType="separate"/>
      </w:r>
      <w:r>
        <w:t>- 52 -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"_Toc114850802" </w:instrText>
      </w:r>
      <w:r>
        <w:fldChar w:fldCharType="separate"/>
      </w:r>
      <w:r>
        <w:rPr>
          <w:rStyle w:val="39"/>
          <w:rFonts w:ascii="仿宋" w:hAnsi="仿宋"/>
          <w:color w:val="auto"/>
        </w:rPr>
        <w:t>（四）</w:t>
      </w:r>
      <w:r>
        <w:rPr>
          <w:rStyle w:val="39"/>
          <w:color w:val="auto"/>
        </w:rPr>
        <w:t xml:space="preserve"> 加强建后管护</w:t>
      </w:r>
      <w:r>
        <w:tab/>
      </w:r>
      <w:r>
        <w:fldChar w:fldCharType="begin"/>
      </w:r>
      <w:r>
        <w:instrText xml:space="preserve"> PAGEREF _Toc114850802 \h </w:instrText>
      </w:r>
      <w:r>
        <w:fldChar w:fldCharType="separate"/>
      </w:r>
      <w:r>
        <w:t>- 53 -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"_Toc114850803" </w:instrText>
      </w:r>
      <w:r>
        <w:fldChar w:fldCharType="separate"/>
      </w:r>
      <w:r>
        <w:rPr>
          <w:rStyle w:val="39"/>
          <w:rFonts w:ascii="仿宋" w:hAnsi="仿宋"/>
          <w:color w:val="auto"/>
        </w:rPr>
        <w:t>（五）</w:t>
      </w:r>
      <w:r>
        <w:rPr>
          <w:rStyle w:val="39"/>
          <w:color w:val="auto"/>
        </w:rPr>
        <w:t xml:space="preserve"> 严格保护利用</w:t>
      </w:r>
      <w:r>
        <w:tab/>
      </w:r>
      <w:r>
        <w:fldChar w:fldCharType="begin"/>
      </w:r>
      <w:r>
        <w:instrText xml:space="preserve"> PAGEREF _Toc114850803 \h </w:instrText>
      </w:r>
      <w:r>
        <w:fldChar w:fldCharType="separate"/>
      </w:r>
      <w:r>
        <w:t>- 57 -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"_Toc114850804" </w:instrText>
      </w:r>
      <w:r>
        <w:fldChar w:fldCharType="separate"/>
      </w:r>
      <w:r>
        <w:rPr>
          <w:rStyle w:val="39"/>
          <w:color w:val="auto"/>
        </w:rPr>
        <w:t>七、 效益分析</w:t>
      </w:r>
      <w:r>
        <w:tab/>
      </w:r>
      <w:r>
        <w:fldChar w:fldCharType="begin"/>
      </w:r>
      <w:r>
        <w:instrText xml:space="preserve"> PAGEREF _Toc114850804 \h </w:instrText>
      </w:r>
      <w:r>
        <w:fldChar w:fldCharType="separate"/>
      </w:r>
      <w:r>
        <w:t>- 59 -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"_Toc114850805" </w:instrText>
      </w:r>
      <w:r>
        <w:fldChar w:fldCharType="separate"/>
      </w:r>
      <w:r>
        <w:rPr>
          <w:rStyle w:val="39"/>
          <w:rFonts w:ascii="仿宋" w:hAnsi="仿宋"/>
          <w:color w:val="auto"/>
        </w:rPr>
        <w:t>（一）</w:t>
      </w:r>
      <w:r>
        <w:rPr>
          <w:rStyle w:val="39"/>
          <w:color w:val="auto"/>
        </w:rPr>
        <w:t xml:space="preserve"> 经经济效益</w:t>
      </w:r>
      <w:r>
        <w:tab/>
      </w:r>
      <w:r>
        <w:fldChar w:fldCharType="begin"/>
      </w:r>
      <w:r>
        <w:instrText xml:space="preserve"> PAGEREF _Toc114850805 \h </w:instrText>
      </w:r>
      <w:r>
        <w:fldChar w:fldCharType="separate"/>
      </w:r>
      <w:r>
        <w:t>- 59 -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"_Toc114850806" </w:instrText>
      </w:r>
      <w:r>
        <w:fldChar w:fldCharType="separate"/>
      </w:r>
      <w:r>
        <w:rPr>
          <w:rStyle w:val="39"/>
          <w:rFonts w:ascii="仿宋" w:hAnsi="仿宋"/>
          <w:color w:val="auto"/>
        </w:rPr>
        <w:t>（二）</w:t>
      </w:r>
      <w:r>
        <w:rPr>
          <w:rStyle w:val="39"/>
          <w:color w:val="auto"/>
        </w:rPr>
        <w:t xml:space="preserve"> 社会效益</w:t>
      </w:r>
      <w:r>
        <w:tab/>
      </w:r>
      <w:r>
        <w:fldChar w:fldCharType="begin"/>
      </w:r>
      <w:r>
        <w:instrText xml:space="preserve"> PAGEREF _Toc114850806 \h </w:instrText>
      </w:r>
      <w:r>
        <w:fldChar w:fldCharType="separate"/>
      </w:r>
      <w:r>
        <w:t>- 59 -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"_Toc114850807" </w:instrText>
      </w:r>
      <w:r>
        <w:fldChar w:fldCharType="separate"/>
      </w:r>
      <w:r>
        <w:rPr>
          <w:rStyle w:val="39"/>
          <w:rFonts w:ascii="仿宋" w:hAnsi="仿宋"/>
          <w:color w:val="auto"/>
        </w:rPr>
        <w:t>（三）</w:t>
      </w:r>
      <w:r>
        <w:rPr>
          <w:rStyle w:val="39"/>
          <w:color w:val="auto"/>
        </w:rPr>
        <w:t xml:space="preserve"> 生态效益</w:t>
      </w:r>
      <w:r>
        <w:tab/>
      </w:r>
      <w:r>
        <w:fldChar w:fldCharType="begin"/>
      </w:r>
      <w:r>
        <w:instrText xml:space="preserve"> PAGEREF _Toc114850807 \h </w:instrText>
      </w:r>
      <w:r>
        <w:fldChar w:fldCharType="separate"/>
      </w:r>
      <w:r>
        <w:t>- 60 -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"_Toc114850808" </w:instrText>
      </w:r>
      <w:r>
        <w:fldChar w:fldCharType="separate"/>
      </w:r>
      <w:r>
        <w:rPr>
          <w:rStyle w:val="39"/>
          <w:color w:val="auto"/>
        </w:rPr>
        <w:t>八、 环境影响分析</w:t>
      </w:r>
      <w:r>
        <w:tab/>
      </w:r>
      <w:r>
        <w:fldChar w:fldCharType="begin"/>
      </w:r>
      <w:r>
        <w:instrText xml:space="preserve"> PAGEREF _Toc114850808 \h </w:instrText>
      </w:r>
      <w:r>
        <w:fldChar w:fldCharType="separate"/>
      </w:r>
      <w:r>
        <w:t>- 61 -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"_Toc114850809" </w:instrText>
      </w:r>
      <w:r>
        <w:fldChar w:fldCharType="separate"/>
      </w:r>
      <w:r>
        <w:rPr>
          <w:rStyle w:val="39"/>
          <w:rFonts w:ascii="仿宋" w:hAnsi="仿宋"/>
          <w:color w:val="auto"/>
        </w:rPr>
        <w:t>（一）</w:t>
      </w:r>
      <w:r>
        <w:rPr>
          <w:rStyle w:val="39"/>
          <w:color w:val="auto"/>
        </w:rPr>
        <w:t xml:space="preserve"> 对区域水资源平衡的影响分析</w:t>
      </w:r>
      <w:r>
        <w:tab/>
      </w:r>
      <w:r>
        <w:fldChar w:fldCharType="begin"/>
      </w:r>
      <w:r>
        <w:instrText xml:space="preserve"> PAGEREF _Toc114850809 \h </w:instrText>
      </w:r>
      <w:r>
        <w:fldChar w:fldCharType="separate"/>
      </w:r>
      <w:r>
        <w:t>- 61 -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"_Toc114850810" </w:instrText>
      </w:r>
      <w:r>
        <w:fldChar w:fldCharType="separate"/>
      </w:r>
      <w:r>
        <w:rPr>
          <w:rStyle w:val="39"/>
          <w:rFonts w:ascii="仿宋" w:hAnsi="仿宋"/>
          <w:color w:val="auto"/>
        </w:rPr>
        <w:t>（二）</w:t>
      </w:r>
      <w:r>
        <w:rPr>
          <w:rStyle w:val="39"/>
          <w:color w:val="auto"/>
        </w:rPr>
        <w:t xml:space="preserve"> 对防治水土流失的影响分析</w:t>
      </w:r>
      <w:r>
        <w:tab/>
      </w:r>
      <w:r>
        <w:fldChar w:fldCharType="begin"/>
      </w:r>
      <w:r>
        <w:instrText xml:space="preserve"> PAGEREF _Toc114850810 \h </w:instrText>
      </w:r>
      <w:r>
        <w:fldChar w:fldCharType="separate"/>
      </w:r>
      <w:r>
        <w:t>- 61 -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"_Toc114850811" </w:instrText>
      </w:r>
      <w:r>
        <w:fldChar w:fldCharType="separate"/>
      </w:r>
      <w:r>
        <w:rPr>
          <w:rStyle w:val="39"/>
          <w:rFonts w:ascii="仿宋" w:hAnsi="仿宋"/>
          <w:color w:val="auto"/>
        </w:rPr>
        <w:t>（三）</w:t>
      </w:r>
      <w:r>
        <w:rPr>
          <w:rStyle w:val="39"/>
          <w:color w:val="auto"/>
        </w:rPr>
        <w:t xml:space="preserve"> 农业投入品对环境的影响分析</w:t>
      </w:r>
      <w:r>
        <w:tab/>
      </w:r>
      <w:r>
        <w:fldChar w:fldCharType="begin"/>
      </w:r>
      <w:r>
        <w:instrText xml:space="preserve"> PAGEREF _Toc114850811 \h </w:instrText>
      </w:r>
      <w:r>
        <w:fldChar w:fldCharType="separate"/>
      </w:r>
      <w:r>
        <w:t>- 62 -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"_Toc114850812" </w:instrText>
      </w:r>
      <w:r>
        <w:fldChar w:fldCharType="separate"/>
      </w:r>
      <w:r>
        <w:rPr>
          <w:rStyle w:val="39"/>
          <w:color w:val="auto"/>
        </w:rPr>
        <w:t>九、 保障措施</w:t>
      </w:r>
      <w:r>
        <w:tab/>
      </w:r>
      <w:r>
        <w:fldChar w:fldCharType="begin"/>
      </w:r>
      <w:r>
        <w:instrText xml:space="preserve"> PAGEREF _Toc114850812 \h </w:instrText>
      </w:r>
      <w:r>
        <w:fldChar w:fldCharType="separate"/>
      </w:r>
      <w:r>
        <w:t>- 63 -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"_Toc114850813" </w:instrText>
      </w:r>
      <w:r>
        <w:fldChar w:fldCharType="separate"/>
      </w:r>
      <w:r>
        <w:rPr>
          <w:rStyle w:val="39"/>
          <w:rFonts w:ascii="仿宋" w:hAnsi="仿宋"/>
          <w:color w:val="auto"/>
        </w:rPr>
        <w:t>（一）</w:t>
      </w:r>
      <w:r>
        <w:rPr>
          <w:rStyle w:val="39"/>
          <w:color w:val="auto"/>
        </w:rPr>
        <w:t xml:space="preserve"> 组织保障</w:t>
      </w:r>
      <w:r>
        <w:tab/>
      </w:r>
      <w:r>
        <w:fldChar w:fldCharType="begin"/>
      </w:r>
      <w:r>
        <w:instrText xml:space="preserve"> PAGEREF _Toc114850813 \h </w:instrText>
      </w:r>
      <w:r>
        <w:fldChar w:fldCharType="separate"/>
      </w:r>
      <w:r>
        <w:t>- 63 -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"_Toc114850814" </w:instrText>
      </w:r>
      <w:r>
        <w:fldChar w:fldCharType="separate"/>
      </w:r>
      <w:r>
        <w:rPr>
          <w:rStyle w:val="39"/>
          <w:rFonts w:ascii="仿宋" w:hAnsi="仿宋"/>
          <w:color w:val="auto"/>
        </w:rPr>
        <w:t>（二）</w:t>
      </w:r>
      <w:r>
        <w:rPr>
          <w:rStyle w:val="39"/>
          <w:color w:val="auto"/>
        </w:rPr>
        <w:t xml:space="preserve"> 资金保障</w:t>
      </w:r>
      <w:r>
        <w:tab/>
      </w:r>
      <w:r>
        <w:fldChar w:fldCharType="begin"/>
      </w:r>
      <w:r>
        <w:instrText xml:space="preserve"> PAGEREF _Toc114850814 \h </w:instrText>
      </w:r>
      <w:r>
        <w:fldChar w:fldCharType="separate"/>
      </w:r>
      <w:r>
        <w:t>- 63 -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"_Toc114850815" </w:instrText>
      </w:r>
      <w:r>
        <w:fldChar w:fldCharType="separate"/>
      </w:r>
      <w:r>
        <w:rPr>
          <w:rStyle w:val="39"/>
          <w:rFonts w:ascii="仿宋" w:hAnsi="仿宋"/>
          <w:color w:val="auto"/>
        </w:rPr>
        <w:t>（三）</w:t>
      </w:r>
      <w:r>
        <w:rPr>
          <w:rStyle w:val="39"/>
          <w:color w:val="auto"/>
        </w:rPr>
        <w:t xml:space="preserve"> 制度保障</w:t>
      </w:r>
      <w:r>
        <w:tab/>
      </w:r>
      <w:r>
        <w:fldChar w:fldCharType="begin"/>
      </w:r>
      <w:r>
        <w:instrText xml:space="preserve"> PAGEREF _Toc114850815 \h </w:instrText>
      </w:r>
      <w:r>
        <w:fldChar w:fldCharType="separate"/>
      </w:r>
      <w:r>
        <w:t>- 64 -</w:t>
      </w:r>
      <w:r>
        <w:fldChar w:fldCharType="end"/>
      </w:r>
      <w:r>
        <w:fldChar w:fldCharType="end"/>
      </w:r>
    </w:p>
    <w:p>
      <w:pPr>
        <w:pStyle w:val="26"/>
        <w:tabs>
          <w:tab w:val="right" w:leader="dot" w:pos="8240"/>
        </w:tabs>
        <w:rPr>
          <w:rFonts w:asciiTheme="minorHAnsi" w:hAnsiTheme="minorHAnsi" w:eastAsiaTheme="minorEastAsia"/>
          <w:sz w:val="21"/>
          <w:szCs w:val="22"/>
        </w:rPr>
      </w:pPr>
      <w:r>
        <w:fldChar w:fldCharType="begin"/>
      </w:r>
      <w:r>
        <w:instrText xml:space="preserve"> HYPERLINK \l "_Toc114850816" </w:instrText>
      </w:r>
      <w:r>
        <w:fldChar w:fldCharType="separate"/>
      </w:r>
      <w:r>
        <w:rPr>
          <w:rStyle w:val="39"/>
          <w:rFonts w:ascii="仿宋" w:hAnsi="仿宋"/>
          <w:color w:val="auto"/>
        </w:rPr>
        <w:t>（四）</w:t>
      </w:r>
      <w:r>
        <w:rPr>
          <w:rStyle w:val="39"/>
          <w:color w:val="auto"/>
        </w:rPr>
        <w:t xml:space="preserve"> 管理保障</w:t>
      </w:r>
      <w:r>
        <w:tab/>
      </w:r>
      <w:r>
        <w:fldChar w:fldCharType="begin"/>
      </w:r>
      <w:r>
        <w:instrText xml:space="preserve"> PAGEREF _Toc114850816 \h </w:instrText>
      </w:r>
      <w:r>
        <w:fldChar w:fldCharType="separate"/>
      </w:r>
      <w:r>
        <w:t>- 65 -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"_Toc114850817" </w:instrText>
      </w:r>
      <w:r>
        <w:fldChar w:fldCharType="separate"/>
      </w:r>
      <w:r>
        <w:rPr>
          <w:rStyle w:val="39"/>
          <w:color w:val="auto"/>
        </w:rPr>
        <w:t>附表</w:t>
      </w:r>
      <w:r>
        <w:tab/>
      </w:r>
      <w:r>
        <w:fldChar w:fldCharType="begin"/>
      </w:r>
      <w:r>
        <w:instrText xml:space="preserve"> PAGEREF _Toc114850817 \h </w:instrText>
      </w:r>
      <w:r>
        <w:fldChar w:fldCharType="separate"/>
      </w:r>
      <w:r>
        <w:t>- 66 -</w:t>
      </w:r>
      <w:r>
        <w:fldChar w:fldCharType="end"/>
      </w:r>
      <w:r>
        <w:fldChar w:fldCharType="end"/>
      </w:r>
    </w:p>
    <w:p>
      <w:pPr>
        <w:pStyle w:val="23"/>
        <w:tabs>
          <w:tab w:val="right" w:leader="dot" w:pos="8240"/>
        </w:tabs>
        <w:rPr>
          <w:rFonts w:asciiTheme="minorHAnsi" w:hAnsiTheme="minorHAnsi" w:eastAsiaTheme="minorEastAsia"/>
          <w:sz w:val="21"/>
          <w:szCs w:val="22"/>
        </w:rPr>
      </w:pPr>
      <w:r>
        <w:fldChar w:fldCharType="begin"/>
      </w:r>
      <w:r>
        <w:instrText xml:space="preserve"> HYPERLINK \l "_Toc114850818" </w:instrText>
      </w:r>
      <w:r>
        <w:fldChar w:fldCharType="separate"/>
      </w:r>
      <w:r>
        <w:rPr>
          <w:rStyle w:val="39"/>
          <w:color w:val="auto"/>
        </w:rPr>
        <w:t>附图</w:t>
      </w:r>
      <w:r>
        <w:tab/>
      </w:r>
      <w:r>
        <w:fldChar w:fldCharType="begin"/>
      </w:r>
      <w:r>
        <w:instrText xml:space="preserve"> PAGEREF _Toc114850818 \h </w:instrText>
      </w:r>
      <w:r>
        <w:fldChar w:fldCharType="separate"/>
      </w:r>
      <w:r>
        <w:t>- 91 -</w:t>
      </w:r>
      <w:r>
        <w:fldChar w:fldCharType="end"/>
      </w:r>
      <w:r>
        <w:fldChar w:fldCharType="end"/>
      </w:r>
    </w:p>
    <w:p>
      <w:pPr>
        <w:ind w:firstLine="440"/>
        <w:rPr>
          <w:rFonts w:cs="仿宋"/>
        </w:rPr>
        <w:sectPr>
          <w:headerReference r:id="rId11" w:type="default"/>
          <w:footerReference r:id="rId12" w:type="default"/>
          <w:pgSz w:w="11850" w:h="16783"/>
          <w:pgMar w:top="1440" w:right="1800" w:bottom="1440" w:left="1800" w:header="851" w:footer="992" w:gutter="0"/>
          <w:pgNumType w:fmt="upperRoman" w:start="1"/>
          <w:cols w:space="425" w:num="1"/>
          <w:docGrid w:type="lines" w:linePitch="312" w:charSpace="0"/>
        </w:sectPr>
      </w:pPr>
      <w:r>
        <w:rPr>
          <w:rFonts w:hint="eastAsia" w:cs="仿宋"/>
          <w:sz w:val="22"/>
        </w:rPr>
        <w:fldChar w:fldCharType="end"/>
      </w:r>
    </w:p>
    <w:p>
      <w:pPr>
        <w:pStyle w:val="3"/>
        <w:numPr>
          <w:ilvl w:val="0"/>
          <w:numId w:val="0"/>
        </w:numPr>
        <w:rPr>
          <w:rFonts w:ascii="Times New Roman"/>
        </w:rPr>
      </w:pPr>
      <w:bookmarkStart w:id="0" w:name="_Toc114850763"/>
      <w:bookmarkStart w:id="1" w:name="_Toc16272"/>
      <w:bookmarkStart w:id="2" w:name="_Toc18857"/>
      <w:bookmarkStart w:id="3" w:name="_Toc27527"/>
      <w:r>
        <w:rPr>
          <w:rFonts w:hint="eastAsia" w:ascii="Times New Roman"/>
        </w:rPr>
        <w:t xml:space="preserve">前 </w:t>
      </w:r>
      <w:r>
        <w:rPr>
          <w:rFonts w:ascii="Times New Roman"/>
        </w:rPr>
        <w:t xml:space="preserve">  </w:t>
      </w:r>
      <w:r>
        <w:rPr>
          <w:rFonts w:hint="eastAsia" w:ascii="Times New Roman"/>
        </w:rPr>
        <w:t>言</w:t>
      </w:r>
      <w:bookmarkEnd w:id="0"/>
      <w:bookmarkEnd w:id="1"/>
      <w:bookmarkEnd w:id="2"/>
      <w:bookmarkEnd w:id="3"/>
    </w:p>
    <w:p>
      <w:pPr>
        <w:overflowPunct w:val="0"/>
        <w:topLinePunct/>
        <w:spacing w:line="600" w:lineRule="exact"/>
        <w:ind w:firstLine="640"/>
        <w:jc w:val="both"/>
        <w:rPr>
          <w:sz w:val="32"/>
          <w:szCs w:val="32"/>
        </w:rPr>
      </w:pPr>
      <w:r>
        <w:rPr>
          <w:rFonts w:hint="eastAsia"/>
          <w:sz w:val="32"/>
          <w:szCs w:val="32"/>
        </w:rPr>
        <w:t>习近平总书记指出，中国人的饭碗要牢牢端在自己手里，党中央、国务院高度重视高标准农田建设。高标准农田建设是巩固和提高粮食生产能力、保障国家粮食安全的关键举措。多年来，九台区委、区政府高度重视高标准农田建设工作，认真贯彻落实党中央、国务院及各级政府的相关决策部署，将高标准农田建设作为农业农村工作的重中之重，实施“藏粮于地、藏粮于技”的发展战略，坚持集聚资源要素，突出规划引领，加大资金投入，实施整体推进，聚焦基础设施建设，强化组织保障，全区高标准农田建设取得显著成效。截止到2020年，全区共建设高标准农田面积</w:t>
      </w:r>
      <w:r>
        <w:rPr>
          <w:sz w:val="32"/>
          <w:szCs w:val="32"/>
        </w:rPr>
        <w:t>126.14</w:t>
      </w:r>
      <w:r>
        <w:rPr>
          <w:rFonts w:hint="eastAsia"/>
          <w:sz w:val="32"/>
          <w:szCs w:val="32"/>
        </w:rPr>
        <w:t>万亩，占全区耕地总面积的</w:t>
      </w:r>
      <w:r>
        <w:rPr>
          <w:sz w:val="32"/>
          <w:szCs w:val="32"/>
        </w:rPr>
        <w:t>35.34</w:t>
      </w:r>
      <w:r>
        <w:rPr>
          <w:rFonts w:hint="eastAsia"/>
          <w:sz w:val="32"/>
          <w:szCs w:val="32"/>
        </w:rPr>
        <w:t>%。</w:t>
      </w:r>
    </w:p>
    <w:p>
      <w:pPr>
        <w:overflowPunct w:val="0"/>
        <w:topLinePunct/>
        <w:spacing w:line="600" w:lineRule="exact"/>
        <w:ind w:firstLine="640"/>
        <w:jc w:val="both"/>
        <w:rPr>
          <w:sz w:val="32"/>
          <w:szCs w:val="32"/>
        </w:rPr>
      </w:pPr>
      <w:r>
        <w:rPr>
          <w:rFonts w:hint="eastAsia"/>
          <w:sz w:val="32"/>
          <w:szCs w:val="32"/>
        </w:rPr>
        <w:t>为</w:t>
      </w:r>
      <w:r>
        <w:rPr>
          <w:sz w:val="32"/>
          <w:szCs w:val="32"/>
        </w:rPr>
        <w:t>全面贯彻党的十九大精神和习近平新时代中国特色社会主义思想，推进东北振兴战略再深化、改革开放再出发，着力促进农业可持续发展和提升竞争力的要求，以建设高标准农田为重点，夯实现代农业基础，逐步形成与生态环境资源相协调、与可持续发展相适应的开发格局，</w:t>
      </w:r>
      <w:r>
        <w:rPr>
          <w:rFonts w:hint="eastAsia"/>
          <w:sz w:val="32"/>
          <w:szCs w:val="32"/>
        </w:rPr>
        <w:t>九台区为认真落实《关于加快构建高标准农田建设规划体系的通知》（吉农办建〔2021〕2号），编制《长春市九台区高标准农田建设规划（2021-20</w:t>
      </w:r>
      <w:r>
        <w:rPr>
          <w:sz w:val="32"/>
          <w:szCs w:val="32"/>
        </w:rPr>
        <w:t>30</w:t>
      </w:r>
      <w:r>
        <w:rPr>
          <w:rFonts w:hint="eastAsia"/>
          <w:sz w:val="32"/>
          <w:szCs w:val="32"/>
        </w:rPr>
        <w:t>年）》，以下简称《规划》。</w:t>
      </w:r>
    </w:p>
    <w:p>
      <w:pPr>
        <w:overflowPunct w:val="0"/>
        <w:topLinePunct/>
        <w:spacing w:line="600" w:lineRule="exact"/>
        <w:ind w:firstLine="640"/>
        <w:jc w:val="both"/>
        <w:rPr>
          <w:sz w:val="32"/>
          <w:szCs w:val="32"/>
        </w:rPr>
      </w:pPr>
      <w:r>
        <w:rPr>
          <w:rFonts w:hint="eastAsia"/>
          <w:sz w:val="32"/>
          <w:szCs w:val="32"/>
        </w:rPr>
        <w:t>《规划》依据《国务院办公厅关于切实加强高标准农田建设提升国家粮食安全保障能力的意见》</w:t>
      </w:r>
      <w:r>
        <w:rPr>
          <w:rFonts w:hint="eastAsia"/>
          <w:sz w:val="32"/>
        </w:rPr>
        <w:t>（国办发〔2019〕50号）</w:t>
      </w:r>
      <w:r>
        <w:rPr>
          <w:rFonts w:hint="eastAsia"/>
          <w:sz w:val="32"/>
          <w:szCs w:val="32"/>
        </w:rPr>
        <w:t>、《中华人民共和国国民经济和社会发展第十四个五年规划和2035年远景目标纲要》、《农田建设管理办法》、《全国高标准农田建设规划（2021－2030年）》、《吉林省高标准农田建设规划（2021－2030年）》、《吉林省乡村振兴战略规划（2018－2022年）》、《长春市高标准农田建设规划（2021-2030年）》、《长春市现代农业城发展规划》等编制。</w:t>
      </w:r>
    </w:p>
    <w:p>
      <w:pPr>
        <w:overflowPunct w:val="0"/>
        <w:topLinePunct/>
        <w:spacing w:line="600" w:lineRule="exact"/>
        <w:ind w:firstLine="640"/>
        <w:jc w:val="both"/>
        <w:rPr>
          <w:sz w:val="32"/>
          <w:szCs w:val="32"/>
        </w:rPr>
      </w:pPr>
      <w:r>
        <w:rPr>
          <w:rFonts w:hint="eastAsia"/>
          <w:sz w:val="32"/>
          <w:szCs w:val="32"/>
        </w:rPr>
        <w:t>《规划》编制过程中，在总结近年来九台区高标准农田建设情况的基础上，参考了有关部门近期普查工作成果，并结合九台区农业农村局对各乡镇（街道）征求意见的反馈，提出全区高标准农田建设的指导思想、基本原则、总体目标、主要任务、建设标准和建设内容，同时进行高标准农田建设的经济效益、社会效益和生态效益分析，并提出确保规划顺利实施的保障措施。《规划》的编制和实施，有利于提升农田基础设施和农业科技应用水平，实现农业现代化，促进农业可持续发展。</w:t>
      </w:r>
    </w:p>
    <w:p>
      <w:pPr>
        <w:overflowPunct w:val="0"/>
        <w:topLinePunct/>
        <w:spacing w:line="600" w:lineRule="exact"/>
        <w:ind w:firstLine="640"/>
        <w:jc w:val="both"/>
        <w:rPr>
          <w:sz w:val="32"/>
          <w:szCs w:val="32"/>
        </w:rPr>
      </w:pPr>
      <w:r>
        <w:rPr>
          <w:rFonts w:hint="eastAsia"/>
          <w:sz w:val="32"/>
          <w:szCs w:val="32"/>
        </w:rPr>
        <w:t>《规划》</w:t>
      </w:r>
      <w:r>
        <w:rPr>
          <w:sz w:val="32"/>
          <w:szCs w:val="32"/>
        </w:rPr>
        <w:t>是</w:t>
      </w:r>
      <w:r>
        <w:rPr>
          <w:rFonts w:hint="eastAsia"/>
          <w:sz w:val="32"/>
          <w:szCs w:val="32"/>
        </w:rPr>
        <w:t>九台区</w:t>
      </w:r>
      <w:r>
        <w:rPr>
          <w:sz w:val="32"/>
          <w:szCs w:val="32"/>
        </w:rPr>
        <w:t>20</w:t>
      </w:r>
      <w:r>
        <w:rPr>
          <w:rFonts w:hint="eastAsia"/>
          <w:sz w:val="32"/>
          <w:szCs w:val="32"/>
        </w:rPr>
        <w:t>21-</w:t>
      </w:r>
      <w:r>
        <w:rPr>
          <w:sz w:val="32"/>
          <w:szCs w:val="32"/>
        </w:rPr>
        <w:t>2030年</w:t>
      </w:r>
      <w:r>
        <w:rPr>
          <w:rFonts w:hint="eastAsia"/>
          <w:sz w:val="32"/>
          <w:szCs w:val="32"/>
        </w:rPr>
        <w:t>期间开展高标准农田建设的基本依据，现状水平年为2020年</w:t>
      </w:r>
      <w:r>
        <w:rPr>
          <w:sz w:val="32"/>
          <w:szCs w:val="32"/>
        </w:rPr>
        <w:t>，规划期为20</w:t>
      </w:r>
      <w:r>
        <w:rPr>
          <w:rFonts w:hint="eastAsia"/>
          <w:sz w:val="32"/>
          <w:szCs w:val="32"/>
        </w:rPr>
        <w:t>21-</w:t>
      </w:r>
      <w:r>
        <w:rPr>
          <w:sz w:val="32"/>
          <w:szCs w:val="32"/>
        </w:rPr>
        <w:t>2030年</w:t>
      </w:r>
      <w:r>
        <w:rPr>
          <w:rFonts w:hint="eastAsia"/>
          <w:sz w:val="32"/>
          <w:szCs w:val="32"/>
        </w:rPr>
        <w:t>。</w:t>
      </w:r>
    </w:p>
    <w:p>
      <w:pPr>
        <w:ind w:firstLine="0" w:firstLineChars="0"/>
      </w:pPr>
    </w:p>
    <w:p>
      <w:pPr>
        <w:pStyle w:val="2"/>
        <w:ind w:left="560" w:firstLine="560"/>
        <w:sectPr>
          <w:footerReference r:id="rId13" w:type="default"/>
          <w:pgSz w:w="11850" w:h="16783"/>
          <w:pgMar w:top="1701" w:right="1418" w:bottom="1418" w:left="1474" w:header="851" w:footer="992" w:gutter="0"/>
          <w:pgNumType w:fmt="numberInDash" w:start="1"/>
          <w:cols w:space="425" w:num="1"/>
          <w:docGrid w:type="lines" w:linePitch="312" w:charSpace="0"/>
        </w:sectPr>
      </w:pPr>
    </w:p>
    <w:p>
      <w:pPr>
        <w:pStyle w:val="3"/>
        <w:rPr>
          <w:rFonts w:ascii="Times New Roman"/>
        </w:rPr>
      </w:pPr>
      <w:bookmarkStart w:id="4" w:name="_Toc114850764"/>
      <w:r>
        <w:rPr>
          <w:rFonts w:ascii="Times New Roman"/>
        </w:rPr>
        <w:t>规划区</w:t>
      </w:r>
      <w:r>
        <w:rPr>
          <w:rFonts w:hint="eastAsia" w:ascii="Times New Roman"/>
        </w:rPr>
        <w:t>概况</w:t>
      </w:r>
      <w:bookmarkEnd w:id="4"/>
    </w:p>
    <w:p>
      <w:pPr>
        <w:pStyle w:val="4"/>
      </w:pPr>
      <w:bookmarkStart w:id="5" w:name="_Toc114850765"/>
      <w:r>
        <w:rPr>
          <w:rFonts w:hint="eastAsia"/>
        </w:rPr>
        <w:t>自然概况</w:t>
      </w:r>
      <w:bookmarkEnd w:id="5"/>
    </w:p>
    <w:p>
      <w:pPr>
        <w:pStyle w:val="5"/>
      </w:pPr>
      <w:r>
        <w:rPr>
          <w:rFonts w:hint="eastAsia"/>
        </w:rPr>
        <w:t>区位条件</w:t>
      </w:r>
    </w:p>
    <w:p>
      <w:pPr>
        <w:overflowPunct w:val="0"/>
        <w:topLinePunct/>
        <w:spacing w:line="600" w:lineRule="exact"/>
        <w:ind w:firstLine="640"/>
        <w:jc w:val="both"/>
        <w:rPr>
          <w:sz w:val="32"/>
          <w:szCs w:val="32"/>
          <w:vertAlign w:val="superscript"/>
        </w:rPr>
      </w:pPr>
      <w:r>
        <w:rPr>
          <w:rFonts w:hint="eastAsia"/>
          <w:sz w:val="32"/>
          <w:szCs w:val="32"/>
        </w:rPr>
        <w:t>九台区国土调查总面积</w:t>
      </w:r>
      <w:r>
        <w:rPr>
          <w:sz w:val="32"/>
          <w:szCs w:val="32"/>
        </w:rPr>
        <w:t>337151.92</w:t>
      </w:r>
      <w:r>
        <w:rPr>
          <w:rFonts w:hint="eastAsia"/>
          <w:sz w:val="32"/>
          <w:szCs w:val="32"/>
        </w:rPr>
        <w:t>公顷，全区耕地总面积</w:t>
      </w:r>
      <w:r>
        <w:rPr>
          <w:sz w:val="32"/>
          <w:szCs w:val="32"/>
        </w:rPr>
        <w:t>237961.00</w:t>
      </w:r>
      <w:r>
        <w:rPr>
          <w:rFonts w:hint="eastAsia"/>
          <w:sz w:val="32"/>
          <w:szCs w:val="32"/>
        </w:rPr>
        <w:t>公顷（3</w:t>
      </w:r>
      <w:r>
        <w:rPr>
          <w:sz w:val="32"/>
          <w:szCs w:val="32"/>
        </w:rPr>
        <w:t>56.94</w:t>
      </w:r>
      <w:r>
        <w:rPr>
          <w:rFonts w:hint="eastAsia"/>
          <w:sz w:val="32"/>
          <w:szCs w:val="32"/>
        </w:rPr>
        <w:t>万亩），规划区内耕地面积</w:t>
      </w:r>
      <w:r>
        <w:rPr>
          <w:sz w:val="32"/>
          <w:szCs w:val="32"/>
        </w:rPr>
        <w:t>219991.43</w:t>
      </w:r>
      <w:r>
        <w:rPr>
          <w:rFonts w:hint="eastAsia"/>
          <w:sz w:val="32"/>
          <w:szCs w:val="32"/>
        </w:rPr>
        <w:t>公顷（3</w:t>
      </w:r>
      <w:r>
        <w:rPr>
          <w:sz w:val="32"/>
          <w:szCs w:val="32"/>
        </w:rPr>
        <w:t>29.99</w:t>
      </w:r>
      <w:r>
        <w:rPr>
          <w:rFonts w:hint="eastAsia"/>
          <w:sz w:val="32"/>
          <w:szCs w:val="32"/>
        </w:rPr>
        <w:t>万亩）。</w:t>
      </w:r>
      <w:r>
        <w:rPr>
          <w:sz w:val="32"/>
          <w:szCs w:val="32"/>
          <w:vertAlign w:val="subscript"/>
        </w:rPr>
        <w:footnoteReference w:id="0"/>
      </w:r>
      <w:r>
        <w:rPr>
          <w:rFonts w:hint="eastAsia"/>
          <w:sz w:val="32"/>
          <w:szCs w:val="32"/>
        </w:rPr>
        <w:t>九台区位于吉林省中部，长春东北部。九台火车站西距吉林省省会长春市50公里，东距吉林省第二大城市吉林市75公里。地处长白山区向松辽平原过渡地带，地理位置优越，处于东经125°24′50″～126°29′50″，北纬43°50′30″～44°31′30″。东及东北与舒兰市和榆树市为界；南及东南同永吉县接壤；西与长春市为邻；西南同双阳毗连；北及西北均与德惠市交界。九台区地处欧亚大陆东岸的中国东北平原腹地松辽平原，是国家级新区长春新区的最核心区。</w:t>
      </w:r>
      <w:r>
        <w:rPr>
          <w:sz w:val="32"/>
          <w:szCs w:val="32"/>
          <w:vertAlign w:val="subscript"/>
        </w:rPr>
        <w:footnoteReference w:id="1"/>
      </w:r>
    </w:p>
    <w:p>
      <w:pPr>
        <w:pStyle w:val="5"/>
      </w:pPr>
      <w:r>
        <w:rPr>
          <w:rFonts w:hint="eastAsia"/>
        </w:rPr>
        <w:t>地形地貌</w:t>
      </w:r>
    </w:p>
    <w:p>
      <w:pPr>
        <w:overflowPunct w:val="0"/>
        <w:topLinePunct/>
        <w:spacing w:line="600" w:lineRule="exact"/>
        <w:ind w:firstLine="640"/>
        <w:jc w:val="both"/>
        <w:rPr>
          <w:sz w:val="32"/>
          <w:szCs w:val="32"/>
        </w:rPr>
      </w:pPr>
      <w:r>
        <w:rPr>
          <w:rFonts w:hint="eastAsia"/>
          <w:sz w:val="32"/>
          <w:szCs w:val="32"/>
        </w:rPr>
        <w:t>九台区地形较为复杂，是个半山、半平原和丘陵起伏之地。西部、中部为冲积平原二级阶地（台地），东部、南部、西部多为低山丘陵（半山区），全区地形呈西南与东北方向狭长形状，东西长87.75公里，南北宽75公里。地势由西南向东倾斜，形成了西南高，东北低，中间岗川不等的自然格局。</w:t>
      </w:r>
    </w:p>
    <w:p>
      <w:pPr>
        <w:overflowPunct w:val="0"/>
        <w:topLinePunct/>
        <w:spacing w:line="600" w:lineRule="exact"/>
        <w:ind w:firstLine="640"/>
        <w:jc w:val="both"/>
        <w:rPr>
          <w:sz w:val="32"/>
          <w:szCs w:val="32"/>
        </w:rPr>
      </w:pPr>
      <w:r>
        <w:rPr>
          <w:rFonts w:hint="eastAsia"/>
          <w:sz w:val="32"/>
          <w:szCs w:val="32"/>
        </w:rPr>
        <w:t>大小山岭均为长白山系哈达岭山脉之余脉。山岭多分布在东南，南部、西南和东北部，八台岭海拔580米，为全区最高峰。有松花江、饮马河、沐石河、雾开河4条主要江河，随着地势走向均由南向北流入德惠市境内，由此四大流域形成了广阔的冲积平原。地形最低点是苇子沟街道的新开村马家营子屯，海拔160.5米。地表形态大体上是“三山、一水、六分田”的状况。主要地貌为低山丘陵和平原两大类别。</w:t>
      </w:r>
    </w:p>
    <w:p>
      <w:pPr>
        <w:pStyle w:val="5"/>
      </w:pPr>
      <w:r>
        <w:rPr>
          <w:rFonts w:hint="eastAsia"/>
        </w:rPr>
        <w:t>水文气象</w:t>
      </w:r>
    </w:p>
    <w:p>
      <w:pPr>
        <w:overflowPunct w:val="0"/>
        <w:topLinePunct/>
        <w:spacing w:line="600" w:lineRule="exact"/>
        <w:ind w:firstLine="640"/>
        <w:jc w:val="both"/>
        <w:rPr>
          <w:sz w:val="32"/>
          <w:szCs w:val="32"/>
        </w:rPr>
      </w:pPr>
      <w:r>
        <w:rPr>
          <w:rFonts w:hint="eastAsia"/>
          <w:sz w:val="32"/>
          <w:szCs w:val="32"/>
        </w:rPr>
        <w:t>九台区境内河流有</w:t>
      </w:r>
      <w:r>
        <w:fldChar w:fldCharType="begin"/>
      </w:r>
      <w:r>
        <w:instrText xml:space="preserve"> HYPERLINK "http://www.hudong.com/wiki/%E6%9D%BE%E8%8A%B1%E6%B1%9F" \t "_blank" \o "松花江" </w:instrText>
      </w:r>
      <w:r>
        <w:fldChar w:fldCharType="separate"/>
      </w:r>
      <w:r>
        <w:rPr>
          <w:rFonts w:hint="eastAsia"/>
          <w:sz w:val="32"/>
          <w:szCs w:val="32"/>
        </w:rPr>
        <w:t>松花江</w:t>
      </w:r>
      <w:r>
        <w:rPr>
          <w:rFonts w:hint="eastAsia"/>
          <w:sz w:val="32"/>
          <w:szCs w:val="32"/>
        </w:rPr>
        <w:fldChar w:fldCharType="end"/>
      </w:r>
      <w:r>
        <w:rPr>
          <w:rFonts w:hint="eastAsia"/>
          <w:sz w:val="32"/>
          <w:szCs w:val="32"/>
        </w:rPr>
        <w:t>、</w:t>
      </w:r>
      <w:r>
        <w:fldChar w:fldCharType="begin"/>
      </w:r>
      <w:r>
        <w:instrText xml:space="preserve"> HYPERLINK "http://www.hudong.com/wiki/%E9%A5%AE%E9%A9%AC%E6%B2%B3" \o "饮马河" </w:instrText>
      </w:r>
      <w:r>
        <w:fldChar w:fldCharType="separate"/>
      </w:r>
      <w:r>
        <w:rPr>
          <w:rFonts w:hint="eastAsia"/>
          <w:sz w:val="32"/>
          <w:szCs w:val="32"/>
        </w:rPr>
        <w:t>饮马河</w:t>
      </w:r>
      <w:r>
        <w:rPr>
          <w:rFonts w:hint="eastAsia"/>
          <w:sz w:val="32"/>
          <w:szCs w:val="32"/>
        </w:rPr>
        <w:fldChar w:fldCharType="end"/>
      </w:r>
      <w:r>
        <w:rPr>
          <w:rFonts w:hint="eastAsia"/>
          <w:sz w:val="32"/>
          <w:szCs w:val="32"/>
        </w:rPr>
        <w:t>、</w:t>
      </w:r>
      <w:r>
        <w:fldChar w:fldCharType="begin"/>
      </w:r>
      <w:r>
        <w:instrText xml:space="preserve"> HYPERLINK "http://www.hudong.com/wiki/%E6%B2%90%E7%9F%B3%E6%B2%B3" \o "沐石河" </w:instrText>
      </w:r>
      <w:r>
        <w:fldChar w:fldCharType="separate"/>
      </w:r>
      <w:r>
        <w:rPr>
          <w:rFonts w:hint="eastAsia"/>
          <w:sz w:val="32"/>
          <w:szCs w:val="32"/>
        </w:rPr>
        <w:t>沐石河</w:t>
      </w:r>
      <w:r>
        <w:rPr>
          <w:rFonts w:hint="eastAsia"/>
          <w:sz w:val="32"/>
          <w:szCs w:val="32"/>
        </w:rPr>
        <w:fldChar w:fldCharType="end"/>
      </w:r>
      <w:r>
        <w:rPr>
          <w:rFonts w:hint="eastAsia"/>
          <w:sz w:val="32"/>
          <w:szCs w:val="32"/>
        </w:rPr>
        <w:t>、雾开河4条主要河流及其大小支流30余条，</w:t>
      </w:r>
      <w:r>
        <w:fldChar w:fldCharType="begin"/>
      </w:r>
      <w:r>
        <w:instrText xml:space="preserve"> HYPERLINK "http://www.hudong.com/wiki/%E6%9D%BE%E8%8A%B1%E6%B1%9F" \t "_blank" \o "松花江" </w:instrText>
      </w:r>
      <w:r>
        <w:fldChar w:fldCharType="separate"/>
      </w:r>
      <w:r>
        <w:rPr>
          <w:rFonts w:hint="eastAsia"/>
          <w:sz w:val="32"/>
          <w:szCs w:val="32"/>
        </w:rPr>
        <w:t>松花江</w:t>
      </w:r>
      <w:r>
        <w:rPr>
          <w:rFonts w:hint="eastAsia"/>
          <w:sz w:val="32"/>
          <w:szCs w:val="32"/>
        </w:rPr>
        <w:fldChar w:fldCharType="end"/>
      </w:r>
      <w:r>
        <w:rPr>
          <w:rFonts w:hint="eastAsia"/>
          <w:sz w:val="32"/>
          <w:szCs w:val="32"/>
        </w:rPr>
        <w:t>、</w:t>
      </w:r>
      <w:r>
        <w:fldChar w:fldCharType="begin"/>
      </w:r>
      <w:r>
        <w:instrText xml:space="preserve"> HYPERLINK "http://www.hudong.com/wiki/%E9%A5%AE%E9%A9%AC%E6%B2%B3" \o "饮马河" </w:instrText>
      </w:r>
      <w:r>
        <w:fldChar w:fldCharType="separate"/>
      </w:r>
      <w:r>
        <w:rPr>
          <w:rFonts w:hint="eastAsia"/>
          <w:sz w:val="32"/>
          <w:szCs w:val="32"/>
        </w:rPr>
        <w:t>饮马河</w:t>
      </w:r>
      <w:r>
        <w:rPr>
          <w:rFonts w:hint="eastAsia"/>
          <w:sz w:val="32"/>
          <w:szCs w:val="32"/>
        </w:rPr>
        <w:fldChar w:fldCharType="end"/>
      </w:r>
      <w:r>
        <w:rPr>
          <w:rFonts w:hint="eastAsia"/>
          <w:sz w:val="32"/>
          <w:szCs w:val="32"/>
        </w:rPr>
        <w:t>、</w:t>
      </w:r>
      <w:r>
        <w:fldChar w:fldCharType="begin"/>
      </w:r>
      <w:r>
        <w:instrText xml:space="preserve"> HYPERLINK "http://www.hudong.com/wiki/%E6%B2%90%E7%9F%B3%E6%B2%B3" \o "沐石河" </w:instrText>
      </w:r>
      <w:r>
        <w:fldChar w:fldCharType="separate"/>
      </w:r>
      <w:r>
        <w:rPr>
          <w:rFonts w:hint="eastAsia"/>
          <w:sz w:val="32"/>
          <w:szCs w:val="32"/>
        </w:rPr>
        <w:t>沐石河</w:t>
      </w:r>
      <w:r>
        <w:rPr>
          <w:rFonts w:hint="eastAsia"/>
          <w:sz w:val="32"/>
          <w:szCs w:val="32"/>
        </w:rPr>
        <w:fldChar w:fldCharType="end"/>
      </w:r>
      <w:r>
        <w:rPr>
          <w:rFonts w:hint="eastAsia"/>
          <w:sz w:val="32"/>
          <w:szCs w:val="32"/>
        </w:rPr>
        <w:t>、雾开河4条河流总长207.7公里。松花江由小锦州入境，经莽卡、其塔木、上河湾3个乡镇（街道），河流总长52.5公里，流域面积占全区总面积的27%。沐石河为松花江下游支流，源泉地为6股泉水及地下水汇流而成，九台段长41公里。饮马河为松花江下游支流，九台段为62公里。雾开河是饮马河支流，九台段为52.2公里，流域面积1170平方公里。地下水资源不丰富，且分布不均，河谷地区水资源比较充裕。西部、西北部比较贫乏。</w:t>
      </w:r>
    </w:p>
    <w:p>
      <w:pPr>
        <w:pStyle w:val="80"/>
        <w:overflowPunct w:val="0"/>
        <w:topLinePunct/>
        <w:ind w:firstLine="640"/>
        <w:jc w:val="both"/>
        <w:rPr>
          <w:rFonts w:eastAsia="仿宋" w:cstheme="minorBidi"/>
          <w:sz w:val="32"/>
          <w:szCs w:val="32"/>
        </w:rPr>
      </w:pPr>
      <w:r>
        <w:rPr>
          <w:rFonts w:hint="eastAsia" w:eastAsia="仿宋" w:cstheme="minorBidi"/>
          <w:sz w:val="32"/>
          <w:szCs w:val="32"/>
        </w:rPr>
        <w:t>九台区地表水资源量26747万m</w:t>
      </w:r>
      <w:r>
        <w:rPr>
          <w:rFonts w:eastAsia="仿宋" w:cstheme="minorBidi"/>
          <w:sz w:val="32"/>
          <w:szCs w:val="32"/>
        </w:rPr>
        <w:t>³</w:t>
      </w:r>
      <w:r>
        <w:rPr>
          <w:rFonts w:hint="eastAsia" w:eastAsia="仿宋" w:cstheme="minorBidi"/>
          <w:sz w:val="32"/>
          <w:szCs w:val="32"/>
        </w:rPr>
        <w:t>，地下水资源量29472万m</w:t>
      </w:r>
      <w:r>
        <w:rPr>
          <w:rFonts w:eastAsia="仿宋" w:cstheme="minorBidi"/>
          <w:sz w:val="32"/>
          <w:szCs w:val="32"/>
        </w:rPr>
        <w:t>³</w:t>
      </w:r>
      <w:r>
        <w:rPr>
          <w:rFonts w:hint="eastAsia" w:eastAsia="仿宋" w:cstheme="minorBidi"/>
          <w:sz w:val="32"/>
          <w:szCs w:val="32"/>
        </w:rPr>
        <w:t>，水资源总量51888万m</w:t>
      </w:r>
      <w:r>
        <w:rPr>
          <w:rFonts w:eastAsia="仿宋" w:cstheme="minorBidi"/>
          <w:sz w:val="32"/>
          <w:szCs w:val="32"/>
        </w:rPr>
        <w:t>³</w:t>
      </w:r>
      <w:r>
        <w:rPr>
          <w:rFonts w:hint="eastAsia" w:eastAsia="仿宋" w:cstheme="minorBidi"/>
          <w:sz w:val="32"/>
          <w:szCs w:val="32"/>
        </w:rPr>
        <w:t>，地表水与地下水之间重复计算量4330.9万m</w:t>
      </w:r>
      <w:r>
        <w:rPr>
          <w:rFonts w:eastAsia="仿宋" w:cstheme="minorBidi"/>
          <w:sz w:val="32"/>
          <w:szCs w:val="32"/>
        </w:rPr>
        <w:t>³</w:t>
      </w:r>
      <w:r>
        <w:rPr>
          <w:rFonts w:hint="eastAsia" w:eastAsia="仿宋" w:cstheme="minorBidi"/>
          <w:sz w:val="32"/>
          <w:szCs w:val="32"/>
        </w:rPr>
        <w:t>，地下水资源可开采量21240万m</w:t>
      </w:r>
      <w:r>
        <w:rPr>
          <w:rFonts w:eastAsia="仿宋" w:cstheme="minorBidi"/>
          <w:sz w:val="32"/>
          <w:szCs w:val="32"/>
        </w:rPr>
        <w:t>³</w:t>
      </w:r>
      <w:r>
        <w:rPr>
          <w:rFonts w:hint="eastAsia" w:eastAsia="仿宋" w:cstheme="minorBidi"/>
          <w:sz w:val="32"/>
          <w:szCs w:val="32"/>
        </w:rPr>
        <w:t>。九台区人均占有水资源量627m</w:t>
      </w:r>
      <w:r>
        <w:rPr>
          <w:rFonts w:eastAsia="仿宋" w:cstheme="minorBidi"/>
          <w:sz w:val="32"/>
          <w:szCs w:val="32"/>
        </w:rPr>
        <w:t>³</w:t>
      </w:r>
      <w:r>
        <w:rPr>
          <w:rFonts w:hint="eastAsia" w:eastAsia="仿宋" w:cstheme="minorBidi"/>
          <w:sz w:val="32"/>
          <w:szCs w:val="32"/>
        </w:rPr>
        <w:t>，为全省的40%，亩均占有水资源量207m</w:t>
      </w:r>
      <w:r>
        <w:rPr>
          <w:rFonts w:eastAsia="仿宋" w:cstheme="minorBidi"/>
          <w:sz w:val="32"/>
          <w:szCs w:val="32"/>
        </w:rPr>
        <w:t>³</w:t>
      </w:r>
      <w:r>
        <w:rPr>
          <w:rFonts w:hint="eastAsia" w:eastAsia="仿宋" w:cstheme="minorBidi"/>
          <w:sz w:val="32"/>
          <w:szCs w:val="32"/>
        </w:rPr>
        <w:t>，为全省的32.3%。水资源开发利用率为29.8%。按流域Ⅵ级分区统计，石头口门水库以下（不含雾开河）及雾开河区域水资源开发利用率最高，分别为43.9%、43.4%，其余4个区域水资源开发利用率在7.7%-31.6%之间。九台区地下水对混凝土不具有腐蚀性，同时水质良好，适合农田灌溉用水。且地下水埋深较浅，水质好，富水性强，是项目区的主要农业灌溉水源，根据已有《吉林省第二次水资源调查评价》工作的成果，确定区内地下水资源量模数及地下水可开采量模数分别为10.45万m</w:t>
      </w:r>
      <w:r>
        <w:rPr>
          <w:rFonts w:hint="eastAsia" w:eastAsia="仿宋" w:cstheme="minorBidi"/>
          <w:sz w:val="32"/>
          <w:szCs w:val="32"/>
          <w:vertAlign w:val="superscript"/>
        </w:rPr>
        <w:t>3</w:t>
      </w:r>
      <w:r>
        <w:rPr>
          <w:rFonts w:hint="eastAsia" w:eastAsia="仿宋" w:cstheme="minorBidi"/>
          <w:sz w:val="32"/>
          <w:szCs w:val="32"/>
        </w:rPr>
        <w:t>/km</w:t>
      </w:r>
      <w:r>
        <w:rPr>
          <w:rFonts w:hint="eastAsia" w:eastAsia="仿宋" w:cstheme="minorBidi"/>
          <w:sz w:val="32"/>
          <w:szCs w:val="32"/>
          <w:vertAlign w:val="superscript"/>
        </w:rPr>
        <w:t>2</w:t>
      </w:r>
      <w:r>
        <w:rPr>
          <w:rFonts w:hint="eastAsia" w:eastAsia="仿宋" w:cstheme="minorBidi"/>
          <w:sz w:val="32"/>
          <w:szCs w:val="32"/>
        </w:rPr>
        <w:t>和7.72万m</w:t>
      </w:r>
      <w:r>
        <w:rPr>
          <w:rFonts w:hint="eastAsia" w:eastAsia="仿宋" w:cstheme="minorBidi"/>
          <w:sz w:val="32"/>
          <w:szCs w:val="32"/>
          <w:vertAlign w:val="superscript"/>
        </w:rPr>
        <w:t>3</w:t>
      </w:r>
      <w:r>
        <w:rPr>
          <w:rFonts w:hint="eastAsia" w:eastAsia="仿宋" w:cstheme="minorBidi"/>
          <w:sz w:val="32"/>
          <w:szCs w:val="32"/>
        </w:rPr>
        <w:t>/km</w:t>
      </w:r>
      <w:r>
        <w:rPr>
          <w:rFonts w:hint="eastAsia" w:eastAsia="仿宋" w:cstheme="minorBidi"/>
          <w:sz w:val="32"/>
          <w:szCs w:val="32"/>
          <w:vertAlign w:val="superscript"/>
        </w:rPr>
        <w:t>2</w:t>
      </w:r>
      <w:r>
        <w:rPr>
          <w:rFonts w:hint="eastAsia" w:eastAsia="仿宋" w:cstheme="minorBidi"/>
          <w:sz w:val="32"/>
          <w:szCs w:val="32"/>
        </w:rPr>
        <w:t>。</w:t>
      </w:r>
    </w:p>
    <w:p>
      <w:pPr>
        <w:overflowPunct w:val="0"/>
        <w:topLinePunct/>
        <w:spacing w:line="600" w:lineRule="exact"/>
        <w:ind w:firstLine="640"/>
        <w:jc w:val="both"/>
        <w:rPr>
          <w:sz w:val="32"/>
          <w:szCs w:val="32"/>
        </w:rPr>
      </w:pPr>
      <w:r>
        <w:rPr>
          <w:rFonts w:hint="eastAsia"/>
          <w:sz w:val="32"/>
          <w:szCs w:val="32"/>
        </w:rPr>
        <w:t>九台区属于北寒温带半湿润大陆性季风型气候，四季分明。冬季，受蒙古冷高压控制，寒冷、少雪、多西北风；春季，气旋活动频繁，短暂多风，低温易旱；夏季，受西太平洋副热带高压影响，盛行西南暖湿气流，温热多雨；秋季，西南风南撤，冷暖交替，多秋高气爽天气，早霜，农作物生长期短。</w:t>
      </w:r>
    </w:p>
    <w:p>
      <w:pPr>
        <w:overflowPunct w:val="0"/>
        <w:topLinePunct/>
        <w:spacing w:line="600" w:lineRule="exact"/>
        <w:ind w:firstLine="640"/>
        <w:jc w:val="both"/>
        <w:rPr>
          <w:sz w:val="32"/>
          <w:szCs w:val="32"/>
        </w:rPr>
      </w:pPr>
      <w:r>
        <w:rPr>
          <w:rFonts w:hint="eastAsia"/>
          <w:sz w:val="32"/>
          <w:szCs w:val="32"/>
        </w:rPr>
        <w:t>日照和太阳辐射：年平均日照</w:t>
      </w:r>
      <w:r>
        <w:rPr>
          <w:sz w:val="32"/>
          <w:szCs w:val="32"/>
        </w:rPr>
        <w:t>2646.9</w:t>
      </w:r>
      <w:r>
        <w:rPr>
          <w:rFonts w:hint="eastAsia"/>
          <w:sz w:val="32"/>
          <w:szCs w:val="32"/>
        </w:rPr>
        <w:t>小时，日照率59%。5-9月日照时数为</w:t>
      </w:r>
      <w:r>
        <w:rPr>
          <w:sz w:val="32"/>
          <w:szCs w:val="32"/>
        </w:rPr>
        <w:t>1199.2</w:t>
      </w:r>
      <w:r>
        <w:rPr>
          <w:rFonts w:hint="eastAsia"/>
          <w:sz w:val="32"/>
          <w:szCs w:val="32"/>
        </w:rPr>
        <w:t>小时，太阳辐射率总量为118.8千卡/平方厘米，全年日照时数以春、夏、秋三季最多，冬季最少。春秋日位虽低于夏季，但秋高气爽，大气透明度好，故日照时数不减于日位高、白昼长、雨水多的夏季，冬季太阳角度最低，昼短夜长，且多烟雾，大气混浊，所以，日照时间最短。</w:t>
      </w:r>
    </w:p>
    <w:p>
      <w:pPr>
        <w:overflowPunct w:val="0"/>
        <w:topLinePunct/>
        <w:spacing w:line="600" w:lineRule="exact"/>
        <w:ind w:firstLine="640"/>
        <w:jc w:val="both"/>
        <w:rPr>
          <w:sz w:val="32"/>
          <w:szCs w:val="32"/>
        </w:rPr>
      </w:pPr>
      <w:r>
        <w:rPr>
          <w:rFonts w:hint="eastAsia"/>
          <w:sz w:val="32"/>
          <w:szCs w:val="32"/>
        </w:rPr>
        <w:t>气温：年平均气温</w:t>
      </w:r>
      <w:r>
        <w:rPr>
          <w:sz w:val="32"/>
          <w:szCs w:val="32"/>
        </w:rPr>
        <w:t>4.7</w:t>
      </w:r>
      <w:r>
        <w:rPr>
          <w:rFonts w:hint="eastAsia"/>
          <w:sz w:val="32"/>
          <w:szCs w:val="32"/>
        </w:rPr>
        <w:t>℃，7月份平均气温最高，为</w:t>
      </w:r>
      <w:r>
        <w:rPr>
          <w:sz w:val="32"/>
          <w:szCs w:val="32"/>
        </w:rPr>
        <w:t>22.5</w:t>
      </w:r>
      <w:r>
        <w:rPr>
          <w:rFonts w:hint="eastAsia"/>
          <w:sz w:val="32"/>
          <w:szCs w:val="32"/>
        </w:rPr>
        <w:t>℃，1月份平均气温最低，为-</w:t>
      </w:r>
      <w:r>
        <w:rPr>
          <w:sz w:val="32"/>
          <w:szCs w:val="32"/>
        </w:rPr>
        <w:t>17.0</w:t>
      </w:r>
      <w:r>
        <w:rPr>
          <w:rFonts w:hint="eastAsia"/>
          <w:sz w:val="32"/>
          <w:szCs w:val="32"/>
        </w:rPr>
        <w:t>℃。5-9月份，≥10℃活动积温2880℃。无霜期为140-155天，初霜期9月下旬，终霜期5月上旬，解冻期3月末，冻结期11月中旬。</w:t>
      </w:r>
    </w:p>
    <w:p>
      <w:pPr>
        <w:overflowPunct w:val="0"/>
        <w:topLinePunct/>
        <w:spacing w:line="600" w:lineRule="exact"/>
        <w:ind w:firstLine="640"/>
        <w:jc w:val="both"/>
        <w:rPr>
          <w:sz w:val="32"/>
          <w:szCs w:val="32"/>
        </w:rPr>
      </w:pPr>
      <w:r>
        <w:rPr>
          <w:rFonts w:hint="eastAsia"/>
          <w:sz w:val="32"/>
          <w:szCs w:val="32"/>
        </w:rPr>
        <w:t>降水：常年平均降雨量</w:t>
      </w:r>
      <w:r>
        <w:rPr>
          <w:sz w:val="32"/>
          <w:szCs w:val="32"/>
        </w:rPr>
        <w:t>654.3</w:t>
      </w:r>
      <w:r>
        <w:rPr>
          <w:rFonts w:hint="eastAsia"/>
          <w:sz w:val="32"/>
          <w:szCs w:val="32"/>
        </w:rPr>
        <w:t>mm，主要集中在6、7、8月，降水量为</w:t>
      </w:r>
      <w:r>
        <w:rPr>
          <w:sz w:val="32"/>
          <w:szCs w:val="32"/>
        </w:rPr>
        <w:t>419.8</w:t>
      </w:r>
      <w:r>
        <w:rPr>
          <w:rFonts w:hint="eastAsia"/>
          <w:sz w:val="32"/>
          <w:szCs w:val="32"/>
        </w:rPr>
        <w:t>mm，占全年降水量的</w:t>
      </w:r>
      <w:r>
        <w:rPr>
          <w:sz w:val="32"/>
          <w:szCs w:val="32"/>
        </w:rPr>
        <w:t>64.16</w:t>
      </w:r>
      <w:r>
        <w:rPr>
          <w:rFonts w:hint="eastAsia"/>
          <w:sz w:val="32"/>
          <w:szCs w:val="32"/>
        </w:rPr>
        <w:t>%，4-9月降水量为</w:t>
      </w:r>
      <w:r>
        <w:rPr>
          <w:sz w:val="32"/>
          <w:szCs w:val="32"/>
        </w:rPr>
        <w:t>569</w:t>
      </w:r>
      <w:r>
        <w:rPr>
          <w:rFonts w:hint="eastAsia"/>
          <w:sz w:val="32"/>
          <w:szCs w:val="32"/>
        </w:rPr>
        <w:t>mm，占全年降水量的</w:t>
      </w:r>
      <w:r>
        <w:rPr>
          <w:sz w:val="32"/>
          <w:szCs w:val="32"/>
        </w:rPr>
        <w:t>86.96</w:t>
      </w:r>
      <w:r>
        <w:rPr>
          <w:rFonts w:hint="eastAsia"/>
          <w:sz w:val="32"/>
          <w:szCs w:val="32"/>
        </w:rPr>
        <w:t>%，雨热同季，适宜作物生长。全年蒸发量是降水量的2.7倍。</w:t>
      </w:r>
    </w:p>
    <w:p>
      <w:pPr>
        <w:overflowPunct w:val="0"/>
        <w:topLinePunct/>
        <w:spacing w:line="600" w:lineRule="exact"/>
        <w:ind w:firstLine="640"/>
        <w:jc w:val="both"/>
        <w:rPr>
          <w:sz w:val="32"/>
          <w:szCs w:val="32"/>
        </w:rPr>
      </w:pPr>
      <w:r>
        <w:rPr>
          <w:rFonts w:hint="eastAsia"/>
          <w:sz w:val="32"/>
          <w:szCs w:val="32"/>
        </w:rPr>
        <w:t>风：年平均8级以上大风日16天左右，多西南风向，平均风速3.4米/秒。</w:t>
      </w:r>
    </w:p>
    <w:p>
      <w:pPr>
        <w:adjustRightInd/>
        <w:snapToGrid/>
        <w:spacing w:line="600" w:lineRule="exact"/>
        <w:ind w:firstLine="0" w:firstLineChars="0"/>
        <w:jc w:val="both"/>
        <w:rPr>
          <w:b/>
          <w:szCs w:val="28"/>
        </w:rPr>
      </w:pPr>
      <w:r>
        <w:rPr>
          <w:rFonts w:hint="eastAsia" w:eastAsia="宋体"/>
          <w:sz w:val="24"/>
        </w:rPr>
        <w:drawing>
          <wp:anchor distT="0" distB="0" distL="114300" distR="114300" simplePos="0" relativeHeight="251664384" behindDoc="0" locked="0" layoutInCell="1" allowOverlap="1">
            <wp:simplePos x="0" y="0"/>
            <wp:positionH relativeFrom="column">
              <wp:posOffset>-51435</wp:posOffset>
            </wp:positionH>
            <wp:positionV relativeFrom="paragraph">
              <wp:posOffset>390525</wp:posOffset>
            </wp:positionV>
            <wp:extent cx="5828665" cy="2829560"/>
            <wp:effectExtent l="0" t="0" r="0" b="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8400" cy="2829600"/>
                    </a:xfrm>
                    <a:prstGeom prst="rect">
                      <a:avLst/>
                    </a:prstGeom>
                    <a:noFill/>
                    <a:ln>
                      <a:noFill/>
                    </a:ln>
                  </pic:spPr>
                </pic:pic>
              </a:graphicData>
            </a:graphic>
          </wp:anchor>
        </w:drawing>
      </w:r>
      <w:r>
        <w:rPr>
          <w:rFonts w:hint="eastAsia"/>
          <w:b/>
          <w:szCs w:val="28"/>
        </w:rPr>
        <w:t xml:space="preserve">表1-1           </w:t>
      </w:r>
      <w:r>
        <w:rPr>
          <w:b/>
          <w:szCs w:val="28"/>
        </w:rPr>
        <w:t xml:space="preserve">     </w:t>
      </w:r>
      <w:r>
        <w:rPr>
          <w:rFonts w:hint="eastAsia"/>
          <w:b/>
          <w:szCs w:val="28"/>
        </w:rPr>
        <w:t xml:space="preserve">  </w:t>
      </w:r>
      <w:r>
        <w:rPr>
          <w:b/>
          <w:szCs w:val="28"/>
        </w:rPr>
        <w:t xml:space="preserve">         </w:t>
      </w:r>
      <w:r>
        <w:rPr>
          <w:rFonts w:hint="eastAsia"/>
          <w:b/>
          <w:szCs w:val="28"/>
        </w:rPr>
        <w:t>长春市九台区气象站气象要素特征统计</w:t>
      </w:r>
    </w:p>
    <w:p>
      <w:pPr>
        <w:pStyle w:val="5"/>
      </w:pPr>
      <w:r>
        <w:rPr>
          <w:rFonts w:hint="eastAsia"/>
        </w:rPr>
        <w:t>土壤植被</w:t>
      </w:r>
    </w:p>
    <w:p>
      <w:pPr>
        <w:overflowPunct w:val="0"/>
        <w:topLinePunct/>
        <w:spacing w:line="600" w:lineRule="exact"/>
        <w:ind w:firstLine="640"/>
        <w:jc w:val="both"/>
        <w:rPr>
          <w:sz w:val="32"/>
          <w:szCs w:val="32"/>
        </w:rPr>
      </w:pPr>
      <w:r>
        <w:rPr>
          <w:rFonts w:hint="eastAsia"/>
          <w:sz w:val="32"/>
          <w:szCs w:val="32"/>
        </w:rPr>
        <w:t>九台区土壤类型共分9个土类、</w:t>
      </w:r>
      <w:r>
        <w:rPr>
          <w:sz w:val="32"/>
          <w:szCs w:val="32"/>
        </w:rPr>
        <w:t>14</w:t>
      </w:r>
      <w:r>
        <w:rPr>
          <w:rFonts w:hint="eastAsia"/>
          <w:sz w:val="32"/>
          <w:szCs w:val="32"/>
        </w:rPr>
        <w:t>个亚类、</w:t>
      </w:r>
      <w:r>
        <w:rPr>
          <w:sz w:val="32"/>
          <w:szCs w:val="32"/>
        </w:rPr>
        <w:t>18</w:t>
      </w:r>
      <w:r>
        <w:rPr>
          <w:rFonts w:hint="eastAsia"/>
          <w:sz w:val="32"/>
          <w:szCs w:val="32"/>
        </w:rPr>
        <w:t>个土属、</w:t>
      </w:r>
      <w:r>
        <w:rPr>
          <w:sz w:val="32"/>
          <w:szCs w:val="32"/>
        </w:rPr>
        <w:t>50</w:t>
      </w:r>
      <w:r>
        <w:rPr>
          <w:rFonts w:hint="eastAsia"/>
          <w:sz w:val="32"/>
          <w:szCs w:val="32"/>
        </w:rPr>
        <w:t>个土种。全区黑土类分布最广，面积最大，总面积达</w:t>
      </w:r>
      <w:r>
        <w:rPr>
          <w:sz w:val="32"/>
          <w:szCs w:val="32"/>
        </w:rPr>
        <w:t>210.65</w:t>
      </w:r>
      <w:r>
        <w:rPr>
          <w:rFonts w:hint="eastAsia"/>
          <w:sz w:val="32"/>
          <w:szCs w:val="32"/>
        </w:rPr>
        <w:t>万亩，占全区耕地总面积的</w:t>
      </w:r>
      <w:r>
        <w:rPr>
          <w:sz w:val="32"/>
          <w:szCs w:val="32"/>
        </w:rPr>
        <w:t>59.02</w:t>
      </w:r>
      <w:r>
        <w:rPr>
          <w:rFonts w:hint="eastAsia"/>
          <w:sz w:val="32"/>
          <w:szCs w:val="32"/>
        </w:rPr>
        <w:t>%；草甸土次之，占</w:t>
      </w:r>
      <w:r>
        <w:rPr>
          <w:sz w:val="32"/>
          <w:szCs w:val="32"/>
        </w:rPr>
        <w:t>25.67</w:t>
      </w:r>
      <w:r>
        <w:rPr>
          <w:rFonts w:hint="eastAsia"/>
          <w:sz w:val="32"/>
          <w:szCs w:val="32"/>
        </w:rPr>
        <w:t>%；其它按面积依次有新积土占</w:t>
      </w:r>
      <w:r>
        <w:rPr>
          <w:sz w:val="32"/>
          <w:szCs w:val="32"/>
        </w:rPr>
        <w:t>5.02</w:t>
      </w:r>
      <w:r>
        <w:rPr>
          <w:rFonts w:hint="eastAsia"/>
          <w:sz w:val="32"/>
          <w:szCs w:val="32"/>
        </w:rPr>
        <w:t>%、水稻土占</w:t>
      </w:r>
      <w:r>
        <w:rPr>
          <w:sz w:val="32"/>
          <w:szCs w:val="32"/>
        </w:rPr>
        <w:t>4.82</w:t>
      </w:r>
      <w:r>
        <w:rPr>
          <w:rFonts w:hint="eastAsia"/>
          <w:sz w:val="32"/>
          <w:szCs w:val="32"/>
        </w:rPr>
        <w:t>%、暗棕壤占</w:t>
      </w:r>
      <w:r>
        <w:rPr>
          <w:sz w:val="32"/>
          <w:szCs w:val="32"/>
        </w:rPr>
        <w:t>3.3</w:t>
      </w:r>
      <w:r>
        <w:rPr>
          <w:rFonts w:hint="eastAsia"/>
          <w:sz w:val="32"/>
          <w:szCs w:val="32"/>
        </w:rPr>
        <w:t>%、白浆土占</w:t>
      </w:r>
      <w:r>
        <w:rPr>
          <w:sz w:val="32"/>
          <w:szCs w:val="32"/>
        </w:rPr>
        <w:t>1.09</w:t>
      </w:r>
      <w:r>
        <w:rPr>
          <w:rFonts w:hint="eastAsia"/>
          <w:sz w:val="32"/>
          <w:szCs w:val="32"/>
        </w:rPr>
        <w:t>%、风砂土占0.</w:t>
      </w:r>
      <w:r>
        <w:rPr>
          <w:sz w:val="32"/>
          <w:szCs w:val="32"/>
        </w:rPr>
        <w:t>44</w:t>
      </w:r>
      <w:r>
        <w:rPr>
          <w:rFonts w:hint="eastAsia"/>
          <w:sz w:val="32"/>
          <w:szCs w:val="32"/>
        </w:rPr>
        <w:t>%、泥炭土占0.</w:t>
      </w:r>
      <w:r>
        <w:rPr>
          <w:sz w:val="32"/>
          <w:szCs w:val="32"/>
        </w:rPr>
        <w:t>43</w:t>
      </w:r>
      <w:r>
        <w:rPr>
          <w:rFonts w:hint="eastAsia"/>
          <w:sz w:val="32"/>
          <w:szCs w:val="32"/>
        </w:rPr>
        <w:t>%、沼泽土占0.</w:t>
      </w:r>
      <w:r>
        <w:rPr>
          <w:sz w:val="32"/>
          <w:szCs w:val="32"/>
        </w:rPr>
        <w:t>21</w:t>
      </w:r>
      <w:r>
        <w:rPr>
          <w:rFonts w:hint="eastAsia"/>
          <w:sz w:val="32"/>
          <w:szCs w:val="32"/>
        </w:rPr>
        <w:t>%，其中4种为黑土地（耕地）土壤类型，包括黑土、白浆土、草甸土、水稻土。九台区黑土地（耕地）面积3</w:t>
      </w:r>
      <w:r>
        <w:rPr>
          <w:sz w:val="32"/>
          <w:szCs w:val="32"/>
        </w:rPr>
        <w:t>39.70</w:t>
      </w:r>
      <w:r>
        <w:rPr>
          <w:rFonts w:hint="eastAsia"/>
          <w:sz w:val="32"/>
          <w:szCs w:val="32"/>
        </w:rPr>
        <w:t>万亩。</w:t>
      </w:r>
    </w:p>
    <w:p>
      <w:pPr>
        <w:overflowPunct w:val="0"/>
        <w:topLinePunct/>
        <w:spacing w:line="600" w:lineRule="exact"/>
        <w:ind w:firstLine="640"/>
        <w:jc w:val="both"/>
        <w:rPr>
          <w:sz w:val="32"/>
          <w:szCs w:val="32"/>
        </w:rPr>
      </w:pPr>
      <w:r>
        <w:rPr>
          <w:rFonts w:hint="eastAsia"/>
          <w:sz w:val="32"/>
          <w:szCs w:val="32"/>
        </w:rPr>
        <w:t>耕地土壤属性主要指标：九台耕地土壤容重变幅为1.11-1.57g/c㎡，平均值为1.33g/c㎡；pH值变幅5.1-7.86，平均值为5.69，主要呈弱酸性，适合作物生长；土壤有机质变幅为21-33.9g/kg，平均含量为26.62g/kg；土壤全氮平均值为1.36/kg；土壤有效磷平均值为58.58mg/kg；土壤速效钾平均值为 233.75mg/kg：土壤缓效钾平均值为695.48mg/kg；土壤有效铜平均值为2.69mg/kg；土壤有效锌平均值为2.49mg/kg；土壤有效铁平均值为144.37mg/kg；土壤有效锰平均值为98.01mg/kg；土壤有效硼平均值为0.56mg/kg；土壤有效钼平均值为0.22mg/kg；土壤有效硫平均值为95.76mg/kg。九台区耕层指标水平均位列吉林省前列，土壤理化性良好。</w:t>
      </w:r>
    </w:p>
    <w:p>
      <w:pPr>
        <w:overflowPunct w:val="0"/>
        <w:topLinePunct/>
        <w:spacing w:line="600" w:lineRule="exact"/>
        <w:ind w:firstLine="640"/>
        <w:jc w:val="both"/>
        <w:rPr>
          <w:sz w:val="32"/>
          <w:szCs w:val="32"/>
        </w:rPr>
      </w:pPr>
      <w:r>
        <w:rPr>
          <w:rFonts w:hint="eastAsia"/>
          <w:sz w:val="32"/>
          <w:szCs w:val="32"/>
        </w:rPr>
        <w:t>九台区基本上属于蒙古植物分布区，但也是和长白山植物分布区交叉过渡的地方，适于各种作物生长。自然植被主要树种有蒙古栎、黑桦、椴树、花曲柳、山杨、黄波罗、山榆等。人工植被主要有黄花落叶松、油松、赤松、沙松、红松。农作物以大豆、高粱、玉米、谷子、水稻为主，田间杂草多为一年生。</w:t>
      </w:r>
    </w:p>
    <w:p>
      <w:pPr>
        <w:pStyle w:val="4"/>
      </w:pPr>
      <w:bookmarkStart w:id="6" w:name="_Toc114850766"/>
      <w:r>
        <w:rPr>
          <w:rFonts w:hint="eastAsia"/>
        </w:rPr>
        <w:t>社会经济状况</w:t>
      </w:r>
      <w:bookmarkEnd w:id="6"/>
    </w:p>
    <w:p>
      <w:pPr>
        <w:overflowPunct w:val="0"/>
        <w:topLinePunct/>
        <w:spacing w:line="600" w:lineRule="exact"/>
        <w:ind w:firstLine="640"/>
        <w:jc w:val="both"/>
        <w:rPr>
          <w:sz w:val="32"/>
          <w:szCs w:val="32"/>
        </w:rPr>
      </w:pPr>
      <w:r>
        <w:rPr>
          <w:rFonts w:hint="eastAsia"/>
          <w:sz w:val="32"/>
          <w:szCs w:val="32"/>
        </w:rPr>
        <w:t>2020年，全区上下高举习近平新时代中国特色社会主义思想伟大旗帜，全面贯彻党的十九大和十九届二中、三中、四中、五中全会精神，以习近平总书记视察吉林重要讲话指示精神为统领，深入贯彻落实党中央、国务院各项决策部署坚持稳中求进工作总基调，贯彻新发展理念，统筹推进疫情防控和经济社会发展，扎实做好“六稳”工作，全面落实“六保”任务，深入推进产业升级与企业转型，稳增长、调结构、转方式，综合实力明显跃升。</w:t>
      </w:r>
    </w:p>
    <w:p>
      <w:pPr>
        <w:overflowPunct w:val="0"/>
        <w:topLinePunct/>
        <w:spacing w:line="600" w:lineRule="exact"/>
        <w:ind w:firstLine="640"/>
        <w:jc w:val="both"/>
        <w:rPr>
          <w:sz w:val="32"/>
          <w:szCs w:val="32"/>
        </w:rPr>
      </w:pPr>
      <w:r>
        <w:rPr>
          <w:rFonts w:hint="eastAsia"/>
          <w:sz w:val="32"/>
          <w:szCs w:val="32"/>
        </w:rPr>
        <w:t>初步核算，全区实现地区生产总值236.5亿元，按可比价格计算，比上年下降2.6%。其中，第一产业增加值57.7亿元，比上年下降2.9%；第二产业增加值58.2亿元，比上年下降1.7%；第三产业增加值120.6亿元，比上年下降3.1%。三次产业结构调整为24.4：24.6：51.0。人均地区生产总值达到30178元（按户籍年平均人口数计算），比上年下降2.0%，折合4375美元。</w:t>
      </w:r>
    </w:p>
    <w:p>
      <w:pPr>
        <w:overflowPunct w:val="0"/>
        <w:topLinePunct/>
        <w:spacing w:line="600" w:lineRule="exact"/>
        <w:ind w:firstLine="640"/>
        <w:jc w:val="both"/>
        <w:rPr>
          <w:sz w:val="32"/>
          <w:szCs w:val="32"/>
        </w:rPr>
      </w:pPr>
      <w:r>
        <w:rPr>
          <w:rFonts w:hint="eastAsia"/>
          <w:sz w:val="32"/>
          <w:szCs w:val="32"/>
        </w:rPr>
        <w:t>全区一般预算全口径财政收入24.2亿元，比上年下降15.7%；区本级财政收入9.7亿元，比上年下降15.5%，其中税收收入5.2亿元，比上年下降5.4%。全年一般预算财政支出77.9亿元，比上年增长2.6%。</w:t>
      </w:r>
    </w:p>
    <w:p>
      <w:pPr>
        <w:overflowPunct w:val="0"/>
        <w:topLinePunct/>
        <w:spacing w:line="600" w:lineRule="exact"/>
        <w:ind w:firstLine="640"/>
        <w:jc w:val="both"/>
        <w:rPr>
          <w:sz w:val="32"/>
          <w:szCs w:val="32"/>
        </w:rPr>
      </w:pPr>
      <w:r>
        <w:rPr>
          <w:rFonts w:hint="eastAsia"/>
          <w:sz w:val="32"/>
          <w:szCs w:val="32"/>
        </w:rPr>
        <w:t>全年农林牧渔业完成总产值108.8亿元，按可比价格计算，比上年下降2.8%。其中，种植业产值37.7亿元；林业产值0.4亿元；牧业产值67.5亿元；渔业产值1.2亿元；农林牧渔服务业产值2.1亿元。</w:t>
      </w:r>
    </w:p>
    <w:p>
      <w:pPr>
        <w:overflowPunct w:val="0"/>
        <w:topLinePunct/>
        <w:spacing w:line="600" w:lineRule="exact"/>
        <w:ind w:firstLine="640"/>
        <w:jc w:val="both"/>
        <w:rPr>
          <w:sz w:val="32"/>
          <w:szCs w:val="32"/>
        </w:rPr>
      </w:pPr>
      <w:r>
        <w:rPr>
          <w:rFonts w:hint="eastAsia"/>
          <w:sz w:val="32"/>
          <w:szCs w:val="32"/>
        </w:rPr>
        <w:t>全年农林牧渔业实现增加值58.9亿元，按可比价格计算，比上年下降2.8%。其中，种植业增加值22.9亿元；林业增加值0.2亿元；牧业增加值33.9亿元；渔业增加值0.7亿元；农林牧渔服务业增加值1.2亿元。</w:t>
      </w:r>
    </w:p>
    <w:p>
      <w:pPr>
        <w:overflowPunct w:val="0"/>
        <w:topLinePunct/>
        <w:spacing w:line="600" w:lineRule="exact"/>
        <w:ind w:firstLine="640"/>
        <w:jc w:val="both"/>
        <w:rPr>
          <w:sz w:val="32"/>
          <w:szCs w:val="32"/>
        </w:rPr>
      </w:pPr>
      <w:r>
        <w:rPr>
          <w:rFonts w:hint="eastAsia"/>
          <w:sz w:val="32"/>
          <w:szCs w:val="32"/>
        </w:rPr>
        <w:t>全区农作物播种面积19.4万公顷。粮食产量达到119.8万吨，比上年下降2.6%。其中，玉米产量101.9万吨，比上年下降4.3%；水稻产量15.1万吨，比上年增长7.8%。</w:t>
      </w:r>
      <w:r>
        <w:rPr>
          <w:sz w:val="32"/>
          <w:szCs w:val="32"/>
          <w:vertAlign w:val="superscript"/>
        </w:rPr>
        <w:footnoteReference w:id="2"/>
      </w:r>
    </w:p>
    <w:p>
      <w:pPr>
        <w:pStyle w:val="4"/>
      </w:pPr>
      <w:bookmarkStart w:id="7" w:name="_Toc114850767"/>
      <w:r>
        <w:rPr>
          <w:rFonts w:hint="eastAsia"/>
        </w:rPr>
        <w:t>耕地情况</w:t>
      </w:r>
      <w:bookmarkEnd w:id="7"/>
    </w:p>
    <w:p>
      <w:pPr>
        <w:overflowPunct w:val="0"/>
        <w:topLinePunct/>
        <w:spacing w:line="600" w:lineRule="exact"/>
        <w:ind w:firstLine="560"/>
        <w:jc w:val="both"/>
        <w:rPr>
          <w:sz w:val="32"/>
          <w:szCs w:val="32"/>
        </w:rPr>
      </w:pPr>
      <w:r>
        <w:rPr>
          <w:rFonts w:hint="eastAsia"/>
        </w:rPr>
        <w:drawing>
          <wp:anchor distT="0" distB="0" distL="114300" distR="114300" simplePos="0" relativeHeight="251660288" behindDoc="0" locked="0" layoutInCell="1" allowOverlap="1">
            <wp:simplePos x="0" y="0"/>
            <wp:positionH relativeFrom="column">
              <wp:posOffset>878840</wp:posOffset>
            </wp:positionH>
            <wp:positionV relativeFrom="page">
              <wp:posOffset>3830320</wp:posOffset>
            </wp:positionV>
            <wp:extent cx="3959860" cy="404304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60000" cy="4042800"/>
                    </a:xfrm>
                    <a:prstGeom prst="rect">
                      <a:avLst/>
                    </a:prstGeom>
                  </pic:spPr>
                </pic:pic>
              </a:graphicData>
            </a:graphic>
          </wp:anchor>
        </w:drawing>
      </w:r>
      <w:r>
        <w:rPr>
          <w:rFonts w:hint="eastAsia"/>
          <w:sz w:val="32"/>
          <w:szCs w:val="32"/>
        </w:rPr>
        <w:t>九台区规划区</w:t>
      </w:r>
      <w:r>
        <w:rPr>
          <w:sz w:val="32"/>
          <w:szCs w:val="32"/>
        </w:rPr>
        <w:t>耕地</w:t>
      </w:r>
      <w:r>
        <w:rPr>
          <w:rFonts w:hint="eastAsia"/>
          <w:sz w:val="32"/>
          <w:szCs w:val="32"/>
        </w:rPr>
        <w:t>总</w:t>
      </w:r>
      <w:r>
        <w:rPr>
          <w:sz w:val="32"/>
          <w:szCs w:val="32"/>
        </w:rPr>
        <w:t>面积219991.43公顷（329.99</w:t>
      </w:r>
      <w:r>
        <w:rPr>
          <w:rFonts w:hint="eastAsia"/>
          <w:sz w:val="32"/>
          <w:szCs w:val="32"/>
        </w:rPr>
        <w:t>万</w:t>
      </w:r>
      <w:r>
        <w:rPr>
          <w:sz w:val="32"/>
          <w:szCs w:val="32"/>
        </w:rPr>
        <w:t>亩），占</w:t>
      </w:r>
      <w:r>
        <w:rPr>
          <w:rFonts w:hint="eastAsia"/>
          <w:sz w:val="32"/>
          <w:szCs w:val="32"/>
        </w:rPr>
        <w:t>全区国土调查</w:t>
      </w:r>
      <w:r>
        <w:rPr>
          <w:sz w:val="32"/>
          <w:szCs w:val="32"/>
        </w:rPr>
        <w:t>总面积的65.25%，</w:t>
      </w:r>
      <w:r>
        <w:rPr>
          <w:rFonts w:hint="eastAsia"/>
          <w:sz w:val="32"/>
          <w:szCs w:val="32"/>
        </w:rPr>
        <w:t>其中，旱地</w:t>
      </w:r>
      <w:r>
        <w:rPr>
          <w:sz w:val="32"/>
          <w:szCs w:val="32"/>
        </w:rPr>
        <w:t>295.12</w:t>
      </w:r>
      <w:r>
        <w:rPr>
          <w:rFonts w:hint="eastAsia"/>
          <w:sz w:val="32"/>
          <w:szCs w:val="32"/>
        </w:rPr>
        <w:t>万亩，占规划区</w:t>
      </w:r>
      <w:r>
        <w:rPr>
          <w:sz w:val="32"/>
          <w:szCs w:val="32"/>
        </w:rPr>
        <w:t>耕地面积</w:t>
      </w:r>
      <w:r>
        <w:rPr>
          <w:rFonts w:hint="eastAsia"/>
          <w:sz w:val="32"/>
          <w:szCs w:val="32"/>
        </w:rPr>
        <w:t>的</w:t>
      </w:r>
      <w:r>
        <w:rPr>
          <w:sz w:val="32"/>
          <w:szCs w:val="32"/>
        </w:rPr>
        <w:t>89.43%</w:t>
      </w:r>
      <w:r>
        <w:rPr>
          <w:rFonts w:hint="eastAsia"/>
          <w:sz w:val="32"/>
          <w:szCs w:val="32"/>
        </w:rPr>
        <w:t>；水田</w:t>
      </w:r>
      <w:r>
        <w:rPr>
          <w:sz w:val="32"/>
          <w:szCs w:val="32"/>
        </w:rPr>
        <w:t>33.28</w:t>
      </w:r>
      <w:r>
        <w:rPr>
          <w:rFonts w:hint="eastAsia"/>
          <w:sz w:val="32"/>
          <w:szCs w:val="32"/>
        </w:rPr>
        <w:t>万亩，占规划区</w:t>
      </w:r>
      <w:r>
        <w:rPr>
          <w:sz w:val="32"/>
          <w:szCs w:val="32"/>
        </w:rPr>
        <w:t>耕地面积</w:t>
      </w:r>
      <w:r>
        <w:rPr>
          <w:rFonts w:hint="eastAsia"/>
          <w:sz w:val="32"/>
          <w:szCs w:val="32"/>
        </w:rPr>
        <w:t>的</w:t>
      </w:r>
      <w:r>
        <w:rPr>
          <w:sz w:val="32"/>
          <w:szCs w:val="32"/>
        </w:rPr>
        <w:t>10.09%</w:t>
      </w:r>
      <w:r>
        <w:rPr>
          <w:rFonts w:hint="eastAsia"/>
          <w:sz w:val="32"/>
          <w:szCs w:val="32"/>
        </w:rPr>
        <w:t>；水浇地</w:t>
      </w:r>
      <w:r>
        <w:rPr>
          <w:sz w:val="32"/>
          <w:szCs w:val="32"/>
        </w:rPr>
        <w:t>1.59</w:t>
      </w:r>
      <w:r>
        <w:rPr>
          <w:rFonts w:hint="eastAsia"/>
          <w:sz w:val="32"/>
          <w:szCs w:val="32"/>
        </w:rPr>
        <w:t>万亩，占规划区</w:t>
      </w:r>
      <w:r>
        <w:rPr>
          <w:sz w:val="32"/>
          <w:szCs w:val="32"/>
        </w:rPr>
        <w:t>耕地面积</w:t>
      </w:r>
      <w:r>
        <w:rPr>
          <w:rFonts w:hint="eastAsia"/>
          <w:sz w:val="32"/>
          <w:szCs w:val="32"/>
        </w:rPr>
        <w:t>的</w:t>
      </w:r>
      <w:r>
        <w:rPr>
          <w:sz w:val="32"/>
          <w:szCs w:val="32"/>
        </w:rPr>
        <w:t>0.48</w:t>
      </w:r>
      <w:r>
        <w:rPr>
          <w:rFonts w:hint="eastAsia"/>
          <w:sz w:val="32"/>
          <w:szCs w:val="32"/>
        </w:rPr>
        <w:t>%。</w:t>
      </w:r>
    </w:p>
    <w:p>
      <w:pPr>
        <w:pStyle w:val="2"/>
        <w:spacing w:after="0" w:line="600" w:lineRule="exact"/>
        <w:ind w:left="0" w:leftChars="0" w:firstLine="0" w:firstLineChars="0"/>
        <w:jc w:val="center"/>
        <w:rPr>
          <w:b/>
          <w:bCs/>
          <w:szCs w:val="28"/>
        </w:rPr>
      </w:pPr>
      <w:r>
        <w:rPr>
          <w:rFonts w:hint="eastAsia"/>
          <w:b/>
          <w:bCs/>
          <w:szCs w:val="28"/>
        </w:rPr>
        <w:t>图</w:t>
      </w:r>
      <w:r>
        <w:rPr>
          <w:b/>
          <w:bCs/>
          <w:szCs w:val="28"/>
        </w:rPr>
        <w:t>1</w:t>
      </w:r>
      <w:r>
        <w:rPr>
          <w:rFonts w:hint="eastAsia"/>
          <w:b/>
          <w:bCs/>
          <w:szCs w:val="28"/>
        </w:rPr>
        <w:t>-1</w:t>
      </w:r>
      <w:r>
        <w:rPr>
          <w:b/>
          <w:bCs/>
          <w:szCs w:val="28"/>
        </w:rPr>
        <w:t xml:space="preserve">   </w:t>
      </w:r>
      <w:r>
        <w:rPr>
          <w:rFonts w:hint="eastAsia"/>
          <w:b/>
          <w:bCs/>
          <w:szCs w:val="28"/>
        </w:rPr>
        <w:t>九台区耕地二级地类现状分布图</w:t>
      </w:r>
    </w:p>
    <w:p>
      <w:pPr>
        <w:overflowPunct w:val="0"/>
        <w:topLinePunct/>
        <w:spacing w:line="600" w:lineRule="exact"/>
        <w:ind w:firstLine="560"/>
        <w:jc w:val="both"/>
        <w:rPr>
          <w:sz w:val="32"/>
          <w:szCs w:val="32"/>
        </w:rPr>
      </w:pPr>
      <w:r>
        <w:rPr>
          <w:rFonts w:hint="eastAsia"/>
        </w:rPr>
        <w:drawing>
          <wp:anchor distT="0" distB="0" distL="114300" distR="114300" simplePos="0" relativeHeight="251659264" behindDoc="0" locked="0" layoutInCell="1" allowOverlap="1">
            <wp:simplePos x="0" y="0"/>
            <wp:positionH relativeFrom="column">
              <wp:posOffset>734695</wp:posOffset>
            </wp:positionH>
            <wp:positionV relativeFrom="paragraph">
              <wp:posOffset>2359025</wp:posOffset>
            </wp:positionV>
            <wp:extent cx="3959860" cy="40246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60000" cy="4024800"/>
                    </a:xfrm>
                    <a:prstGeom prst="rect">
                      <a:avLst/>
                    </a:prstGeom>
                  </pic:spPr>
                </pic:pic>
              </a:graphicData>
            </a:graphic>
          </wp:anchor>
        </w:drawing>
      </w:r>
      <w:r>
        <w:rPr>
          <w:rFonts w:hint="eastAsia"/>
          <w:sz w:val="32"/>
          <w:szCs w:val="32"/>
        </w:rPr>
        <w:t>九台区规划区</w:t>
      </w:r>
      <w:r>
        <w:rPr>
          <w:sz w:val="32"/>
          <w:szCs w:val="32"/>
        </w:rPr>
        <w:t>耕地</w:t>
      </w:r>
      <w:r>
        <w:rPr>
          <w:rFonts w:hint="eastAsia"/>
          <w:sz w:val="32"/>
          <w:szCs w:val="32"/>
        </w:rPr>
        <w:t>坡度级别分为5级。在耕地中坡度小于等于2°的面积</w:t>
      </w:r>
      <w:r>
        <w:rPr>
          <w:sz w:val="32"/>
          <w:szCs w:val="32"/>
        </w:rPr>
        <w:t>185.27</w:t>
      </w:r>
      <w:r>
        <w:rPr>
          <w:rFonts w:hint="eastAsia"/>
          <w:sz w:val="32"/>
          <w:szCs w:val="32"/>
        </w:rPr>
        <w:t>万亩，占规划区总耕地面积的</w:t>
      </w:r>
      <w:r>
        <w:rPr>
          <w:sz w:val="32"/>
          <w:szCs w:val="32"/>
        </w:rPr>
        <w:t>56.14%</w:t>
      </w:r>
      <w:r>
        <w:rPr>
          <w:rFonts w:hint="eastAsia"/>
          <w:sz w:val="32"/>
          <w:szCs w:val="32"/>
        </w:rPr>
        <w:t>；坡度在2°-6°的面积</w:t>
      </w:r>
      <w:r>
        <w:rPr>
          <w:sz w:val="32"/>
          <w:szCs w:val="32"/>
        </w:rPr>
        <w:t>106.94</w:t>
      </w:r>
      <w:r>
        <w:rPr>
          <w:rFonts w:hint="eastAsia"/>
          <w:sz w:val="32"/>
          <w:szCs w:val="32"/>
        </w:rPr>
        <w:t>万亩，占规划区总耕地面积的</w:t>
      </w:r>
      <w:r>
        <w:rPr>
          <w:sz w:val="32"/>
          <w:szCs w:val="32"/>
        </w:rPr>
        <w:t>32.41%</w:t>
      </w:r>
      <w:r>
        <w:rPr>
          <w:rFonts w:hint="eastAsia"/>
          <w:sz w:val="32"/>
          <w:szCs w:val="32"/>
        </w:rPr>
        <w:t>；坡度在6°-15°的面积</w:t>
      </w:r>
      <w:r>
        <w:rPr>
          <w:sz w:val="32"/>
          <w:szCs w:val="32"/>
        </w:rPr>
        <w:t>37.16</w:t>
      </w:r>
      <w:r>
        <w:rPr>
          <w:rFonts w:hint="eastAsia"/>
          <w:sz w:val="32"/>
          <w:szCs w:val="32"/>
        </w:rPr>
        <w:t>万亩，占规划区总耕地面积的</w:t>
      </w:r>
      <w:r>
        <w:rPr>
          <w:sz w:val="32"/>
          <w:szCs w:val="32"/>
        </w:rPr>
        <w:t>11.26%</w:t>
      </w:r>
      <w:r>
        <w:rPr>
          <w:rFonts w:hint="eastAsia"/>
          <w:sz w:val="32"/>
          <w:szCs w:val="32"/>
        </w:rPr>
        <w:t>；坡度在15°-25°的面积</w:t>
      </w:r>
      <w:r>
        <w:rPr>
          <w:sz w:val="32"/>
          <w:szCs w:val="32"/>
        </w:rPr>
        <w:t>0.62</w:t>
      </w:r>
      <w:r>
        <w:rPr>
          <w:rFonts w:hint="eastAsia"/>
          <w:sz w:val="32"/>
          <w:szCs w:val="32"/>
        </w:rPr>
        <w:t>万亩，占规划区总耕地面积的</w:t>
      </w:r>
      <w:r>
        <w:rPr>
          <w:sz w:val="32"/>
          <w:szCs w:val="32"/>
        </w:rPr>
        <w:t>0.19%</w:t>
      </w:r>
      <w:r>
        <w:rPr>
          <w:rFonts w:hint="eastAsia"/>
          <w:sz w:val="32"/>
          <w:szCs w:val="32"/>
        </w:rPr>
        <w:t>；坡度大于25°的面积仅有</w:t>
      </w:r>
      <w:r>
        <w:rPr>
          <w:sz w:val="32"/>
          <w:szCs w:val="32"/>
        </w:rPr>
        <w:t>42.45</w:t>
      </w:r>
      <w:r>
        <w:rPr>
          <w:rFonts w:hint="eastAsia"/>
          <w:sz w:val="32"/>
          <w:szCs w:val="32"/>
        </w:rPr>
        <w:t>亩。</w:t>
      </w:r>
    </w:p>
    <w:p>
      <w:pPr>
        <w:pStyle w:val="2"/>
        <w:spacing w:after="0" w:line="600" w:lineRule="exact"/>
        <w:ind w:left="0" w:leftChars="0" w:firstLine="0" w:firstLineChars="0"/>
        <w:jc w:val="center"/>
        <w:rPr>
          <w:b/>
          <w:bCs/>
          <w:szCs w:val="28"/>
        </w:rPr>
      </w:pPr>
      <w:r>
        <w:rPr>
          <w:rFonts w:hint="eastAsia"/>
          <w:b/>
          <w:bCs/>
          <w:szCs w:val="28"/>
        </w:rPr>
        <w:t>图</w:t>
      </w:r>
      <w:r>
        <w:rPr>
          <w:b/>
          <w:bCs/>
          <w:szCs w:val="28"/>
        </w:rPr>
        <w:t>1</w:t>
      </w:r>
      <w:r>
        <w:rPr>
          <w:rFonts w:hint="eastAsia"/>
          <w:b/>
          <w:bCs/>
          <w:szCs w:val="28"/>
        </w:rPr>
        <w:t>-</w:t>
      </w:r>
      <w:r>
        <w:rPr>
          <w:b/>
          <w:bCs/>
          <w:szCs w:val="28"/>
        </w:rPr>
        <w:t xml:space="preserve">2   </w:t>
      </w:r>
      <w:r>
        <w:rPr>
          <w:rFonts w:hint="eastAsia"/>
          <w:b/>
          <w:bCs/>
          <w:szCs w:val="28"/>
        </w:rPr>
        <w:t>九台区耕地坡度现状分布图</w:t>
      </w:r>
    </w:p>
    <w:p>
      <w:pPr>
        <w:overflowPunct w:val="0"/>
        <w:topLinePunct/>
        <w:spacing w:line="600" w:lineRule="exact"/>
        <w:ind w:firstLine="640"/>
        <w:jc w:val="both"/>
        <w:rPr>
          <w:sz w:val="32"/>
          <w:szCs w:val="32"/>
        </w:rPr>
      </w:pPr>
      <w:r>
        <w:rPr>
          <w:rFonts w:hint="eastAsia"/>
          <w:sz w:val="32"/>
          <w:szCs w:val="32"/>
        </w:rPr>
        <w:t>九台区2</w:t>
      </w:r>
      <w:r>
        <w:rPr>
          <w:sz w:val="32"/>
          <w:szCs w:val="32"/>
        </w:rPr>
        <w:t>019</w:t>
      </w:r>
      <w:r>
        <w:rPr>
          <w:rFonts w:hint="eastAsia"/>
          <w:sz w:val="32"/>
          <w:szCs w:val="32"/>
        </w:rPr>
        <w:t>年耕地质量等级调查评价面积</w:t>
      </w:r>
      <w:r>
        <w:rPr>
          <w:sz w:val="32"/>
          <w:szCs w:val="32"/>
        </w:rPr>
        <w:t>285.79</w:t>
      </w:r>
      <w:r>
        <w:rPr>
          <w:rFonts w:hint="eastAsia"/>
          <w:sz w:val="32"/>
          <w:szCs w:val="32"/>
        </w:rPr>
        <w:t>万亩，耕地质量等级分为一、二、三、四、五、六、七、八个等级。一级地耕地质量最好，八级地耕地质量最差。九台区耕地质量评价综合指数为2.81</w:t>
      </w:r>
      <w:r>
        <w:rPr>
          <w:sz w:val="32"/>
          <w:szCs w:val="32"/>
        </w:rPr>
        <w:t>2</w:t>
      </w:r>
      <w:r>
        <w:rPr>
          <w:rFonts w:hint="eastAsia"/>
          <w:sz w:val="32"/>
          <w:szCs w:val="32"/>
        </w:rPr>
        <w:t>。一、二级为高等级耕地，面积为</w:t>
      </w:r>
      <w:r>
        <w:rPr>
          <w:sz w:val="32"/>
          <w:szCs w:val="32"/>
        </w:rPr>
        <w:t>146.45</w:t>
      </w:r>
      <w:r>
        <w:rPr>
          <w:rFonts w:hint="eastAsia"/>
          <w:sz w:val="32"/>
          <w:szCs w:val="32"/>
        </w:rPr>
        <w:t>万亩，占评价耕地总面积的51.24%，主要分布在西、北、中部乡镇街道的沿河两岸、漫岗台地，东、南部乡镇街道松花江沿岸、山（丘陵）间平地也有分布。这部分耕地主要为黑土、草甸土、水稻土、新积土，地势平缓，有效土层深厚，无障碍因素。三、四级为较高等级耕地，面积为</w:t>
      </w:r>
      <w:r>
        <w:rPr>
          <w:sz w:val="32"/>
          <w:szCs w:val="32"/>
        </w:rPr>
        <w:t>98.05</w:t>
      </w:r>
      <w:r>
        <w:rPr>
          <w:rFonts w:hint="eastAsia"/>
          <w:sz w:val="32"/>
          <w:szCs w:val="32"/>
        </w:rPr>
        <w:t>万亩，占评价耕地总面积的34.31%，分布与一、二级耕地相同。这部分耕地主要为黑土、草甸土、暗棕壤、风沙土，地势较平缓，有效土层中等以上厚度，无明显障碍因素。五、六级为中等级耕地，面积为</w:t>
      </w:r>
      <w:r>
        <w:rPr>
          <w:sz w:val="32"/>
          <w:szCs w:val="32"/>
        </w:rPr>
        <w:t>37.22</w:t>
      </w:r>
      <w:r>
        <w:rPr>
          <w:rFonts w:hint="eastAsia"/>
          <w:sz w:val="32"/>
          <w:szCs w:val="32"/>
        </w:rPr>
        <w:t>万亩，占评价耕地总面积的13.02%，主要分布在东、南部乡镇街道。这部分耕地主要为黑土、暗棕壤、泥炭土、沼泽土、白浆土、风沙土，地势坡度较大或低洼，有效土层较薄或易涝，有障碍因素。七、八级为低等级耕地，面积为</w:t>
      </w:r>
      <w:r>
        <w:rPr>
          <w:sz w:val="32"/>
          <w:szCs w:val="32"/>
        </w:rPr>
        <w:t>4.07</w:t>
      </w:r>
      <w:r>
        <w:rPr>
          <w:rFonts w:hint="eastAsia"/>
          <w:sz w:val="32"/>
          <w:szCs w:val="32"/>
        </w:rPr>
        <w:t>万亩，占评价耕地总面积的1.4</w:t>
      </w:r>
      <w:r>
        <w:rPr>
          <w:sz w:val="32"/>
          <w:szCs w:val="32"/>
        </w:rPr>
        <w:t>3</w:t>
      </w:r>
      <w:r>
        <w:rPr>
          <w:rFonts w:hint="eastAsia"/>
          <w:sz w:val="32"/>
          <w:szCs w:val="32"/>
        </w:rPr>
        <w:t>%，主要分布在东、南部乡镇街道。这部分耕地主要为暗棕壤、白浆土，地势坡度较大，有效土层薄，有明显障碍因素。</w:t>
      </w:r>
    </w:p>
    <w:p>
      <w:pPr>
        <w:pStyle w:val="2"/>
        <w:spacing w:after="0" w:line="600" w:lineRule="exact"/>
        <w:ind w:left="0" w:leftChars="0" w:firstLine="0" w:firstLineChars="0"/>
        <w:jc w:val="center"/>
        <w:rPr>
          <w:b/>
          <w:bCs/>
          <w:szCs w:val="28"/>
        </w:rPr>
      </w:pPr>
      <w:r>
        <w:rPr>
          <w:rFonts w:hint="eastAsia"/>
        </w:rPr>
        <w:drawing>
          <wp:anchor distT="0" distB="0" distL="114300" distR="114300" simplePos="0" relativeHeight="251661312" behindDoc="0" locked="0" layoutInCell="1" allowOverlap="1">
            <wp:simplePos x="0" y="0"/>
            <wp:positionH relativeFrom="column">
              <wp:posOffset>882015</wp:posOffset>
            </wp:positionH>
            <wp:positionV relativeFrom="paragraph">
              <wp:posOffset>3810</wp:posOffset>
            </wp:positionV>
            <wp:extent cx="3959860" cy="465455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60000" cy="4654800"/>
                    </a:xfrm>
                    <a:prstGeom prst="rect">
                      <a:avLst/>
                    </a:prstGeom>
                  </pic:spPr>
                </pic:pic>
              </a:graphicData>
            </a:graphic>
          </wp:anchor>
        </w:drawing>
      </w:r>
      <w:r>
        <w:rPr>
          <w:rFonts w:hint="eastAsia"/>
          <w:b/>
          <w:bCs/>
          <w:szCs w:val="28"/>
        </w:rPr>
        <w:t>图</w:t>
      </w:r>
      <w:r>
        <w:rPr>
          <w:b/>
          <w:bCs/>
          <w:szCs w:val="28"/>
        </w:rPr>
        <w:t>1</w:t>
      </w:r>
      <w:r>
        <w:rPr>
          <w:rFonts w:hint="eastAsia"/>
          <w:b/>
          <w:bCs/>
          <w:szCs w:val="28"/>
        </w:rPr>
        <w:t>-</w:t>
      </w:r>
      <w:r>
        <w:rPr>
          <w:b/>
          <w:bCs/>
          <w:szCs w:val="28"/>
        </w:rPr>
        <w:t xml:space="preserve">3   </w:t>
      </w:r>
      <w:r>
        <w:rPr>
          <w:rFonts w:hint="eastAsia"/>
          <w:b/>
          <w:bCs/>
          <w:szCs w:val="28"/>
        </w:rPr>
        <w:t>九台区耕地质量等级分布图</w:t>
      </w:r>
    </w:p>
    <w:p>
      <w:pPr>
        <w:pStyle w:val="4"/>
      </w:pPr>
      <w:bookmarkStart w:id="8" w:name="_Toc114850768"/>
      <w:r>
        <w:rPr>
          <w:rFonts w:hint="eastAsia"/>
        </w:rPr>
        <w:t>高标准农田建设情况</w:t>
      </w:r>
      <w:bookmarkEnd w:id="8"/>
    </w:p>
    <w:p>
      <w:pPr>
        <w:overflowPunct w:val="0"/>
        <w:topLinePunct/>
        <w:spacing w:line="600" w:lineRule="exact"/>
        <w:ind w:firstLine="640"/>
        <w:jc w:val="both"/>
        <w:rPr>
          <w:sz w:val="32"/>
          <w:szCs w:val="32"/>
        </w:rPr>
      </w:pPr>
      <w:r>
        <w:rPr>
          <w:rFonts w:hint="eastAsia"/>
          <w:sz w:val="32"/>
          <w:szCs w:val="32"/>
        </w:rPr>
        <w:t>截至2020年，九台区累计建设高标准农田项目</w:t>
      </w:r>
      <w:r>
        <w:rPr>
          <w:sz w:val="32"/>
          <w:szCs w:val="32"/>
        </w:rPr>
        <w:t>37</w:t>
      </w:r>
      <w:r>
        <w:rPr>
          <w:rFonts w:hint="eastAsia"/>
          <w:sz w:val="32"/>
          <w:szCs w:val="32"/>
        </w:rPr>
        <w:t>个，已完成12</w:t>
      </w:r>
      <w:r>
        <w:rPr>
          <w:sz w:val="32"/>
          <w:szCs w:val="32"/>
        </w:rPr>
        <w:t>6.14</w:t>
      </w:r>
      <w:r>
        <w:rPr>
          <w:rFonts w:hint="eastAsia"/>
          <w:sz w:val="32"/>
          <w:szCs w:val="32"/>
        </w:rPr>
        <w:t>万亩高标准农田建设任务，占九台区耕地总量的</w:t>
      </w:r>
      <w:r>
        <w:rPr>
          <w:sz w:val="32"/>
          <w:szCs w:val="32"/>
        </w:rPr>
        <w:t>35.34</w:t>
      </w:r>
      <w:r>
        <w:rPr>
          <w:rFonts w:hint="eastAsia"/>
          <w:sz w:val="32"/>
          <w:szCs w:val="32"/>
        </w:rPr>
        <w:t>%。其中：2011-2018年，九台区共建设高标准农田项目3</w:t>
      </w:r>
      <w:r>
        <w:rPr>
          <w:sz w:val="32"/>
          <w:szCs w:val="32"/>
        </w:rPr>
        <w:t>0</w:t>
      </w:r>
      <w:r>
        <w:rPr>
          <w:rFonts w:hint="eastAsia"/>
          <w:sz w:val="32"/>
          <w:szCs w:val="32"/>
        </w:rPr>
        <w:t>个，其中财政部门1</w:t>
      </w:r>
      <w:r>
        <w:rPr>
          <w:sz w:val="32"/>
          <w:szCs w:val="32"/>
        </w:rPr>
        <w:t>2</w:t>
      </w:r>
      <w:r>
        <w:rPr>
          <w:rFonts w:hint="eastAsia"/>
          <w:sz w:val="32"/>
          <w:szCs w:val="32"/>
        </w:rPr>
        <w:t>个，发展改革部门9个，自然资源部门</w:t>
      </w:r>
      <w:r>
        <w:rPr>
          <w:sz w:val="32"/>
          <w:szCs w:val="32"/>
        </w:rPr>
        <w:t>9</w:t>
      </w:r>
      <w:r>
        <w:rPr>
          <w:rFonts w:hint="eastAsia"/>
          <w:sz w:val="32"/>
          <w:szCs w:val="32"/>
        </w:rPr>
        <w:t>个，实际建设高标准农田上图面积</w:t>
      </w:r>
      <w:r>
        <w:rPr>
          <w:sz w:val="32"/>
          <w:szCs w:val="32"/>
        </w:rPr>
        <w:t>105.64</w:t>
      </w:r>
      <w:r>
        <w:rPr>
          <w:rFonts w:hint="eastAsia"/>
          <w:sz w:val="32"/>
          <w:szCs w:val="32"/>
        </w:rPr>
        <w:t>万亩（其中4.16万亩已归属长春空港开发区和高新北区），占九台区耕地总量的</w:t>
      </w:r>
      <w:r>
        <w:rPr>
          <w:sz w:val="32"/>
          <w:szCs w:val="32"/>
        </w:rPr>
        <w:t>29.60</w:t>
      </w:r>
      <w:r>
        <w:rPr>
          <w:rFonts w:hint="eastAsia"/>
          <w:sz w:val="32"/>
          <w:szCs w:val="32"/>
        </w:rPr>
        <w:t>%；2018年组建农业农村部后，高标准农田建设力量得到有效整合，体制机制进一步理顺，九台区加快推进高标准农田建设，2019-2020年，九台区高标准农田建设面积共计20.5万亩。</w:t>
      </w:r>
    </w:p>
    <w:p>
      <w:pPr>
        <w:overflowPunct w:val="0"/>
        <w:topLinePunct/>
        <w:spacing w:line="600" w:lineRule="exact"/>
        <w:ind w:firstLine="560"/>
        <w:jc w:val="both"/>
        <w:rPr>
          <w:sz w:val="32"/>
          <w:szCs w:val="32"/>
        </w:rPr>
      </w:pPr>
      <w:r>
        <w:rPr>
          <w:rFonts w:hint="eastAsia"/>
        </w:rPr>
        <w:drawing>
          <wp:anchor distT="0" distB="0" distL="114300" distR="114300" simplePos="0" relativeHeight="251662336" behindDoc="0" locked="0" layoutInCell="1" allowOverlap="1">
            <wp:simplePos x="0" y="0"/>
            <wp:positionH relativeFrom="column">
              <wp:posOffset>871855</wp:posOffset>
            </wp:positionH>
            <wp:positionV relativeFrom="paragraph">
              <wp:posOffset>1972945</wp:posOffset>
            </wp:positionV>
            <wp:extent cx="3959860" cy="399224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60000" cy="3992400"/>
                    </a:xfrm>
                    <a:prstGeom prst="rect">
                      <a:avLst/>
                    </a:prstGeom>
                  </pic:spPr>
                </pic:pic>
              </a:graphicData>
            </a:graphic>
          </wp:anchor>
        </w:drawing>
      </w:r>
      <w:r>
        <w:rPr>
          <w:rFonts w:hint="eastAsia"/>
          <w:sz w:val="32"/>
          <w:szCs w:val="32"/>
        </w:rPr>
        <w:t>通过农业综合开发、新增千亿斤粮食产能规划田间工程、高标准农田、土地整治等项目的实施，采取治水、改土、整田等工程、生物和技术措施，提高了农田配套水平和保障能力，提升了农田产出率和效益，对全区农业农村经济发展和生态环境保护和改善起到了重要作用。</w:t>
      </w:r>
    </w:p>
    <w:p>
      <w:pPr>
        <w:pStyle w:val="2"/>
        <w:spacing w:after="0" w:line="600" w:lineRule="exact"/>
        <w:ind w:left="0" w:leftChars="0" w:firstLine="0" w:firstLineChars="0"/>
        <w:jc w:val="center"/>
        <w:rPr>
          <w:sz w:val="32"/>
          <w:szCs w:val="32"/>
        </w:rPr>
      </w:pPr>
      <w:r>
        <w:rPr>
          <w:rFonts w:hint="eastAsia"/>
          <w:b/>
          <w:bCs/>
          <w:szCs w:val="28"/>
        </w:rPr>
        <w:t>图</w:t>
      </w:r>
      <w:r>
        <w:rPr>
          <w:b/>
          <w:bCs/>
          <w:szCs w:val="28"/>
        </w:rPr>
        <w:t>1</w:t>
      </w:r>
      <w:r>
        <w:rPr>
          <w:rFonts w:hint="eastAsia"/>
          <w:b/>
          <w:bCs/>
          <w:szCs w:val="28"/>
        </w:rPr>
        <w:t>-</w:t>
      </w:r>
      <w:r>
        <w:rPr>
          <w:b/>
          <w:bCs/>
          <w:szCs w:val="28"/>
        </w:rPr>
        <w:t xml:space="preserve">4   </w:t>
      </w:r>
      <w:r>
        <w:rPr>
          <w:rFonts w:hint="eastAsia"/>
          <w:b/>
          <w:bCs/>
          <w:szCs w:val="28"/>
        </w:rPr>
        <w:t>九台区2</w:t>
      </w:r>
      <w:r>
        <w:rPr>
          <w:b/>
          <w:bCs/>
          <w:szCs w:val="28"/>
        </w:rPr>
        <w:t>011-2020</w:t>
      </w:r>
      <w:r>
        <w:rPr>
          <w:rFonts w:hint="eastAsia"/>
          <w:b/>
          <w:bCs/>
          <w:szCs w:val="28"/>
        </w:rPr>
        <w:t>年高标准农田建设分布图</w:t>
      </w:r>
      <w:r>
        <w:rPr>
          <w:sz w:val="32"/>
          <w:szCs w:val="32"/>
        </w:rPr>
        <w:br w:type="page"/>
      </w:r>
    </w:p>
    <w:p>
      <w:pPr>
        <w:pStyle w:val="3"/>
        <w:rPr>
          <w:rFonts w:ascii="Times New Roman"/>
        </w:rPr>
      </w:pPr>
      <w:bookmarkStart w:id="9" w:name="bookmark56"/>
      <w:bookmarkEnd w:id="9"/>
      <w:bookmarkStart w:id="10" w:name="_Toc5303"/>
      <w:bookmarkStart w:id="11" w:name="_Toc101043889"/>
      <w:bookmarkStart w:id="12" w:name="_Toc114850769"/>
      <w:r>
        <w:rPr>
          <w:rFonts w:ascii="Times New Roman"/>
        </w:rPr>
        <w:t>发展形势</w:t>
      </w:r>
      <w:bookmarkEnd w:id="10"/>
      <w:bookmarkEnd w:id="11"/>
      <w:bookmarkEnd w:id="12"/>
    </w:p>
    <w:p>
      <w:pPr>
        <w:overflowPunct w:val="0"/>
        <w:topLinePunct/>
        <w:spacing w:line="600" w:lineRule="exact"/>
        <w:ind w:firstLine="640"/>
        <w:jc w:val="both"/>
        <w:rPr>
          <w:sz w:val="32"/>
          <w:szCs w:val="32"/>
        </w:rPr>
      </w:pPr>
      <w:r>
        <w:rPr>
          <w:rFonts w:hint="eastAsia"/>
          <w:sz w:val="32"/>
          <w:szCs w:val="32"/>
        </w:rPr>
        <w:t>九台区2</w:t>
      </w:r>
      <w:r>
        <w:rPr>
          <w:sz w:val="32"/>
          <w:szCs w:val="32"/>
        </w:rPr>
        <w:t>011</w:t>
      </w:r>
      <w:r>
        <w:rPr>
          <w:rFonts w:hint="eastAsia"/>
          <w:sz w:val="32"/>
          <w:szCs w:val="32"/>
        </w:rPr>
        <w:t>年以来，先后实施了千亿斤粮食产能田间工程、土地综合整治、农业综合开发等农田基本建设项目。通过各类高标准农田建设项目的规划设计及实施，各个项目区内农业的灌排、田间道路等配套基础设施条件得以配套完善，农业和农村生产能力相应提高，为粮食产量连年增收奠定了坚实基础，为以后高标准农田建设提供了丰富经验。</w:t>
      </w:r>
    </w:p>
    <w:p>
      <w:pPr>
        <w:pStyle w:val="4"/>
      </w:pPr>
      <w:bookmarkStart w:id="13" w:name="_Toc101043890"/>
      <w:bookmarkStart w:id="14" w:name="_Toc114850770"/>
      <w:r>
        <w:t>建设成效</w:t>
      </w:r>
      <w:bookmarkEnd w:id="13"/>
      <w:bookmarkEnd w:id="14"/>
    </w:p>
    <w:p>
      <w:pPr>
        <w:pStyle w:val="5"/>
      </w:pPr>
      <w:r>
        <w:rPr>
          <w:rFonts w:hint="eastAsia"/>
        </w:rPr>
        <w:t>有效地促进了农业增效、农民增收</w:t>
      </w:r>
    </w:p>
    <w:p>
      <w:pPr>
        <w:overflowPunct w:val="0"/>
        <w:topLinePunct/>
        <w:spacing w:line="600" w:lineRule="exact"/>
        <w:ind w:firstLine="640"/>
        <w:jc w:val="both"/>
      </w:pPr>
      <w:r>
        <w:rPr>
          <w:rFonts w:hint="eastAsia"/>
          <w:sz w:val="32"/>
          <w:szCs w:val="32"/>
        </w:rPr>
        <w:t>九台区在高标准农田建设中坚持把促进农业增产、农民增收作为根本目标，让农民在高标准农田建设中得到实实在在的好处，调动了农民的积极性，粮食总产量达到38.6亿斤。全区紧紧围绕优质粮油、蔬菜园艺、生态林业等主导产业和规模畜禽、休闲农业等特色产业发展，通过改善生产条件，改良土壤，引进良种，推广新技术、新工艺等措施，有效提高了劳动生产率和农田产出率，提高了农业效益，增加了农民收入。</w:t>
      </w:r>
    </w:p>
    <w:p>
      <w:pPr>
        <w:pStyle w:val="5"/>
      </w:pPr>
      <w:r>
        <w:rPr>
          <w:rFonts w:hint="eastAsia"/>
        </w:rPr>
        <w:t>有效地改善了农村基础设施</w:t>
      </w:r>
    </w:p>
    <w:p>
      <w:pPr>
        <w:overflowPunct w:val="0"/>
        <w:topLinePunct/>
        <w:spacing w:line="600" w:lineRule="exact"/>
        <w:ind w:firstLine="640"/>
        <w:jc w:val="both"/>
        <w:rPr>
          <w:sz w:val="32"/>
          <w:szCs w:val="32"/>
        </w:rPr>
      </w:pPr>
      <w:r>
        <w:rPr>
          <w:rFonts w:hint="eastAsia"/>
          <w:sz w:val="32"/>
          <w:szCs w:val="32"/>
        </w:rPr>
        <w:t>九台区</w:t>
      </w:r>
      <w:r>
        <w:rPr>
          <w:sz w:val="32"/>
          <w:szCs w:val="32"/>
        </w:rPr>
        <w:t>累计建设高标准农田项目37个，</w:t>
      </w:r>
      <w:r>
        <w:rPr>
          <w:rFonts w:hint="eastAsia"/>
          <w:sz w:val="32"/>
          <w:szCs w:val="32"/>
        </w:rPr>
        <w:t>全区实际建成高标准农田总面积12</w:t>
      </w:r>
      <w:r>
        <w:rPr>
          <w:sz w:val="32"/>
          <w:szCs w:val="32"/>
        </w:rPr>
        <w:t>6.14</w:t>
      </w:r>
      <w:r>
        <w:rPr>
          <w:rFonts w:hint="eastAsia"/>
          <w:sz w:val="32"/>
          <w:szCs w:val="32"/>
        </w:rPr>
        <w:t>万亩。通过各类高标准农田建设项目实施，项目区内农田基础设施得到了明显改善，全区农机总动力达到135万千瓦，农机保有量12.7万台，农业现代化建设已跻身吉林省示范县第一方阵。田块结构布局优化，耕地质量和地力水平明显提升，农机作业道路等条件明显改善，灌溉与排水设施网络逐步完善，提高了农村基础设施水平。协同“绿满九台”深入实施，营造生态经济林1473亩，完成农田林网修复2226亩，防护林体系逐步形成并趋于完善，绿化覆盖率逐步提高。</w:t>
      </w:r>
    </w:p>
    <w:p>
      <w:pPr>
        <w:pStyle w:val="5"/>
      </w:pPr>
      <w:r>
        <w:rPr>
          <w:rFonts w:hint="eastAsia"/>
        </w:rPr>
        <w:t>有效地促进了农业生产方式转变</w:t>
      </w:r>
    </w:p>
    <w:p>
      <w:pPr>
        <w:overflowPunct w:val="0"/>
        <w:topLinePunct/>
        <w:spacing w:line="600" w:lineRule="exact"/>
        <w:ind w:firstLine="640"/>
        <w:jc w:val="both"/>
      </w:pPr>
      <w:bookmarkStart w:id="15" w:name="_Toc101043891"/>
      <w:r>
        <w:rPr>
          <w:rFonts w:hint="eastAsia"/>
          <w:sz w:val="32"/>
          <w:szCs w:val="32"/>
        </w:rPr>
        <w:t>为促进农业生产方式转变，九台区明确了高标准农田建设补助资金优先扶持粮食生产功能区、重要农产品生产保护区。高标准农田建设以农民为受益主体，扶持对象包括小农户、农村集体经济组织、家庭农场、农民合作社、专业大户以及涉农企业与单位等。高标准农田建设解决了耕地质量下降、设施不配套等问题</w:t>
      </w:r>
      <w:r>
        <w:rPr>
          <w:sz w:val="32"/>
          <w:szCs w:val="32"/>
        </w:rPr>
        <w:t>，</w:t>
      </w:r>
      <w:r>
        <w:rPr>
          <w:rFonts w:hint="eastAsia"/>
          <w:sz w:val="32"/>
          <w:szCs w:val="32"/>
        </w:rPr>
        <w:t>有效促进了农业规模化、标准化、专业化经营</w:t>
      </w:r>
      <w:r>
        <w:rPr>
          <w:sz w:val="32"/>
          <w:szCs w:val="32"/>
        </w:rPr>
        <w:t>，</w:t>
      </w:r>
      <w:r>
        <w:rPr>
          <w:rFonts w:hint="eastAsia"/>
          <w:sz w:val="32"/>
          <w:szCs w:val="32"/>
        </w:rPr>
        <w:t>带动了农业机械化提档升级</w:t>
      </w:r>
      <w:r>
        <w:rPr>
          <w:sz w:val="32"/>
          <w:szCs w:val="32"/>
        </w:rPr>
        <w:t>，</w:t>
      </w:r>
      <w:r>
        <w:rPr>
          <w:rFonts w:hint="eastAsia"/>
          <w:sz w:val="32"/>
          <w:szCs w:val="32"/>
        </w:rPr>
        <w:t>提高了水土资源利用效率和土地产出率</w:t>
      </w:r>
      <w:r>
        <w:rPr>
          <w:sz w:val="32"/>
          <w:szCs w:val="32"/>
        </w:rPr>
        <w:t>，</w:t>
      </w:r>
      <w:r>
        <w:rPr>
          <w:rFonts w:hint="eastAsia"/>
          <w:sz w:val="32"/>
          <w:szCs w:val="32"/>
        </w:rPr>
        <w:t>加快了新型农业经营主体培育</w:t>
      </w:r>
      <w:r>
        <w:rPr>
          <w:sz w:val="32"/>
          <w:szCs w:val="32"/>
        </w:rPr>
        <w:t>，</w:t>
      </w:r>
      <w:r>
        <w:rPr>
          <w:rFonts w:hint="eastAsia"/>
          <w:sz w:val="32"/>
          <w:szCs w:val="32"/>
        </w:rPr>
        <w:t>推动了农业经营方式、生产方式、资源利用方式的转变</w:t>
      </w:r>
      <w:r>
        <w:rPr>
          <w:sz w:val="32"/>
          <w:szCs w:val="32"/>
        </w:rPr>
        <w:t>，</w:t>
      </w:r>
      <w:r>
        <w:rPr>
          <w:rFonts w:hint="eastAsia"/>
          <w:sz w:val="32"/>
          <w:szCs w:val="32"/>
        </w:rPr>
        <w:t>有效提高了农业综合效益和竞争力</w:t>
      </w:r>
      <w:r>
        <w:rPr>
          <w:sz w:val="32"/>
          <w:szCs w:val="32"/>
        </w:rPr>
        <w:t>，推动了传统农业向现代农业的转型升级</w:t>
      </w:r>
      <w:r>
        <w:rPr>
          <w:rFonts w:hint="eastAsia"/>
          <w:sz w:val="32"/>
          <w:szCs w:val="32"/>
        </w:rPr>
        <w:t>。九台区已初步形成苗木花卉、棚膜蔬菜、绿色水稻、黏玉米、金红苹果等十大特色产业，2</w:t>
      </w:r>
      <w:r>
        <w:rPr>
          <w:sz w:val="32"/>
          <w:szCs w:val="32"/>
        </w:rPr>
        <w:t>020</w:t>
      </w:r>
      <w:r>
        <w:rPr>
          <w:rFonts w:hint="eastAsia"/>
          <w:sz w:val="32"/>
          <w:szCs w:val="32"/>
        </w:rPr>
        <w:t>年新增家庭农场530家，新增农民专业合作社428个，这些新型经营主体已经成为农民“调结构”之路上的“带头人”。同时，全区农业龙头企业已发展到48家，年产值283亿元，可带动2.3万户农民增收。</w:t>
      </w:r>
    </w:p>
    <w:p>
      <w:pPr>
        <w:pStyle w:val="5"/>
      </w:pPr>
      <w:r>
        <w:rPr>
          <w:rFonts w:hint="eastAsia"/>
        </w:rPr>
        <w:t>有效完善了农田防护与生态环境保持体系</w:t>
      </w:r>
    </w:p>
    <w:p>
      <w:pPr>
        <w:spacing w:line="600" w:lineRule="exact"/>
        <w:ind w:firstLine="640"/>
        <w:jc w:val="both"/>
        <w:rPr>
          <w:sz w:val="32"/>
          <w:szCs w:val="32"/>
        </w:rPr>
      </w:pPr>
      <w:r>
        <w:rPr>
          <w:rFonts w:hint="eastAsia"/>
          <w:sz w:val="32"/>
          <w:szCs w:val="32"/>
        </w:rPr>
        <w:t>高标准农田建成的项目区内，通过对田、水、路、林、村等综合治理，建成田成方、林成网、路相通、渠相连、旱能灌、涝能排、机能行的农田，形成了良好的农业生产小气候，涵养了水源，减少水土流失，增强了农作物抗御自然灾害的能力。农业灌溉水利用率得到提高、灌溉水渗漏减少，节省了水资源、减少了农药化肥对地下水的污染，秸秆转化利用49.23万吨，排查整治重金属污染源企业4家，空气质量优良率达到87.1%，有效改善生态环境。</w:t>
      </w:r>
    </w:p>
    <w:p>
      <w:pPr>
        <w:pStyle w:val="4"/>
      </w:pPr>
      <w:bookmarkStart w:id="16" w:name="_Toc114850771"/>
      <w:r>
        <w:rPr>
          <w:rFonts w:hint="eastAsia"/>
        </w:rPr>
        <w:t>建设</w:t>
      </w:r>
      <w:r>
        <w:t>经验</w:t>
      </w:r>
      <w:bookmarkEnd w:id="15"/>
      <w:bookmarkEnd w:id="16"/>
    </w:p>
    <w:p>
      <w:pPr>
        <w:pStyle w:val="5"/>
      </w:pPr>
      <w:r>
        <w:t>科学规划，</w:t>
      </w:r>
      <w:r>
        <w:rPr>
          <w:rFonts w:hint="eastAsia"/>
        </w:rPr>
        <w:t>合理</w:t>
      </w:r>
      <w:r>
        <w:t>布局</w:t>
      </w:r>
    </w:p>
    <w:p>
      <w:pPr>
        <w:spacing w:line="600" w:lineRule="exact"/>
        <w:ind w:firstLine="640"/>
        <w:jc w:val="both"/>
        <w:rPr>
          <w:sz w:val="32"/>
          <w:szCs w:val="32"/>
        </w:rPr>
      </w:pPr>
      <w:r>
        <w:rPr>
          <w:rFonts w:hint="eastAsia"/>
          <w:sz w:val="32"/>
          <w:szCs w:val="32"/>
        </w:rPr>
        <w:t>九台区</w:t>
      </w:r>
      <w:r>
        <w:rPr>
          <w:sz w:val="32"/>
          <w:szCs w:val="32"/>
        </w:rPr>
        <w:t>在高标准农田建设过程中，坚持</w:t>
      </w:r>
      <w:r>
        <w:rPr>
          <w:rFonts w:hint="eastAsia"/>
          <w:sz w:val="32"/>
          <w:szCs w:val="32"/>
        </w:rPr>
        <w:t>科学</w:t>
      </w:r>
      <w:r>
        <w:rPr>
          <w:sz w:val="32"/>
          <w:szCs w:val="32"/>
        </w:rPr>
        <w:t>规划，</w:t>
      </w:r>
      <w:r>
        <w:rPr>
          <w:rFonts w:hint="eastAsia"/>
          <w:sz w:val="32"/>
          <w:szCs w:val="32"/>
        </w:rPr>
        <w:t>参考本区</w:t>
      </w:r>
      <w:r>
        <w:rPr>
          <w:sz w:val="32"/>
          <w:szCs w:val="32"/>
        </w:rPr>
        <w:t>城乡建设规划、</w:t>
      </w:r>
      <w:r>
        <w:rPr>
          <w:rFonts w:hint="eastAsia"/>
          <w:sz w:val="32"/>
          <w:szCs w:val="32"/>
        </w:rPr>
        <w:t>“两区”划定成果</w:t>
      </w:r>
      <w:r>
        <w:rPr>
          <w:sz w:val="32"/>
          <w:szCs w:val="32"/>
        </w:rPr>
        <w:t>、</w:t>
      </w:r>
      <w:r>
        <w:rPr>
          <w:rFonts w:hint="eastAsia"/>
          <w:sz w:val="32"/>
          <w:szCs w:val="32"/>
        </w:rPr>
        <w:t>土地利用总体规划</w:t>
      </w:r>
      <w:r>
        <w:rPr>
          <w:sz w:val="32"/>
          <w:szCs w:val="32"/>
        </w:rPr>
        <w:t>等</w:t>
      </w:r>
      <w:r>
        <w:rPr>
          <w:rFonts w:hint="eastAsia"/>
          <w:sz w:val="32"/>
          <w:szCs w:val="32"/>
        </w:rPr>
        <w:t>，坚持以科学发展观为指导，立足自身实际、用全局的观念、创新的思路来提高规划的预见性和前瞻性</w:t>
      </w:r>
      <w:r>
        <w:rPr>
          <w:sz w:val="32"/>
          <w:szCs w:val="32"/>
        </w:rPr>
        <w:t>。</w:t>
      </w:r>
      <w:r>
        <w:rPr>
          <w:rFonts w:hint="eastAsia"/>
          <w:sz w:val="32"/>
          <w:szCs w:val="32"/>
        </w:rPr>
        <w:t>坚持因地制宜、分类指导、科学设计、合理布局，充分发挥九台区资源优势、区位优势，推动高标准农田建设协调发展。</w:t>
      </w:r>
    </w:p>
    <w:p>
      <w:pPr>
        <w:pStyle w:val="5"/>
      </w:pPr>
      <w:r>
        <w:t>集中连片，规模开发</w:t>
      </w:r>
    </w:p>
    <w:p>
      <w:pPr>
        <w:spacing w:line="600" w:lineRule="exact"/>
        <w:ind w:firstLine="640"/>
        <w:jc w:val="both"/>
        <w:rPr>
          <w:sz w:val="32"/>
          <w:szCs w:val="32"/>
        </w:rPr>
      </w:pPr>
      <w:r>
        <w:rPr>
          <w:rFonts w:hint="eastAsia"/>
          <w:sz w:val="32"/>
          <w:szCs w:val="32"/>
        </w:rPr>
        <w:t>九台区</w:t>
      </w:r>
      <w:r>
        <w:rPr>
          <w:sz w:val="32"/>
          <w:szCs w:val="32"/>
        </w:rPr>
        <w:t>在高标准农田建设中坚持</w:t>
      </w:r>
      <w:r>
        <w:rPr>
          <w:rFonts w:hint="eastAsia"/>
          <w:sz w:val="32"/>
          <w:szCs w:val="32"/>
        </w:rPr>
        <w:t>“</w:t>
      </w:r>
      <w:r>
        <w:rPr>
          <w:sz w:val="32"/>
          <w:szCs w:val="32"/>
        </w:rPr>
        <w:t>集中投入、连片治理、规模开发</w:t>
      </w:r>
      <w:r>
        <w:rPr>
          <w:rFonts w:hint="eastAsia"/>
          <w:sz w:val="32"/>
          <w:szCs w:val="32"/>
        </w:rPr>
        <w:t>”</w:t>
      </w:r>
      <w:r>
        <w:rPr>
          <w:sz w:val="32"/>
          <w:szCs w:val="32"/>
        </w:rPr>
        <w:t>的治理模式，治理一片，见效一片，巩固一片。</w:t>
      </w:r>
      <w:r>
        <w:rPr>
          <w:rFonts w:hint="eastAsia"/>
          <w:sz w:val="32"/>
          <w:szCs w:val="32"/>
        </w:rPr>
        <w:t>在项目安排上，突出农田基础设施建设，围绕建设实际需要来安排建设内容，按照现代高效农业发展需要安排基础设施配套，优先解决主要制约因素。</w:t>
      </w:r>
    </w:p>
    <w:p>
      <w:pPr>
        <w:pStyle w:val="5"/>
      </w:pPr>
      <w:r>
        <w:rPr>
          <w:rFonts w:hint="eastAsia"/>
        </w:rPr>
        <w:t>部门协同，规范管理</w:t>
      </w:r>
    </w:p>
    <w:p>
      <w:pPr>
        <w:overflowPunct w:val="0"/>
        <w:topLinePunct/>
        <w:spacing w:line="600" w:lineRule="exact"/>
        <w:ind w:firstLine="640"/>
        <w:jc w:val="both"/>
        <w:rPr>
          <w:sz w:val="32"/>
          <w:szCs w:val="32"/>
        </w:rPr>
      </w:pPr>
      <w:r>
        <w:rPr>
          <w:rFonts w:hint="eastAsia"/>
          <w:sz w:val="32"/>
          <w:szCs w:val="32"/>
        </w:rPr>
        <w:t>九台区在高标准</w:t>
      </w:r>
      <w:r>
        <w:rPr>
          <w:sz w:val="32"/>
          <w:szCs w:val="32"/>
        </w:rPr>
        <w:t>农田建设</w:t>
      </w:r>
      <w:r>
        <w:rPr>
          <w:rFonts w:hint="eastAsia"/>
          <w:sz w:val="32"/>
          <w:szCs w:val="32"/>
        </w:rPr>
        <w:t>过程中九台区农业农村局、发改局、自然资源局、水利局、财政局等职能部门，互相配合、互相支持、多渠道增加投入，合力推进高标准农田建设。在项目管理过程中，坚持改革创新管理机制，建立健全各项规章制度，保证项目决策科学化、管理规范化、使资金和项目管理的各个环节有章可循，确保资金规范分配、安全运行和有效使用。</w:t>
      </w:r>
    </w:p>
    <w:p>
      <w:pPr>
        <w:pStyle w:val="5"/>
      </w:pPr>
      <w:r>
        <w:rPr>
          <w:rFonts w:hint="eastAsia"/>
        </w:rPr>
        <w:t>尊重意愿，依靠群众</w:t>
      </w:r>
    </w:p>
    <w:p>
      <w:pPr>
        <w:overflowPunct w:val="0"/>
        <w:topLinePunct/>
        <w:spacing w:line="600" w:lineRule="exact"/>
        <w:ind w:firstLine="640"/>
        <w:jc w:val="both"/>
        <w:rPr>
          <w:sz w:val="32"/>
          <w:szCs w:val="32"/>
        </w:rPr>
      </w:pPr>
      <w:r>
        <w:rPr>
          <w:rFonts w:hint="eastAsia"/>
          <w:sz w:val="32"/>
          <w:szCs w:val="32"/>
        </w:rPr>
        <w:t>九台区在</w:t>
      </w:r>
      <w:r>
        <w:rPr>
          <w:sz w:val="32"/>
          <w:szCs w:val="32"/>
        </w:rPr>
        <w:t>高标准农田建设实践中坚持以农民为主体，充分尊重农民的意愿，为农民谋利益，较好地兼顾了保障国家粮食安全与促进农民增收两个目标。以</w:t>
      </w:r>
      <w:r>
        <w:rPr>
          <w:rFonts w:hint="eastAsia"/>
          <w:sz w:val="32"/>
          <w:szCs w:val="32"/>
        </w:rPr>
        <w:t>“</w:t>
      </w:r>
      <w:r>
        <w:rPr>
          <w:sz w:val="32"/>
          <w:szCs w:val="32"/>
        </w:rPr>
        <w:t>农民要办</w:t>
      </w:r>
      <w:r>
        <w:rPr>
          <w:rFonts w:hint="eastAsia"/>
          <w:sz w:val="32"/>
          <w:szCs w:val="32"/>
        </w:rPr>
        <w:t>”</w:t>
      </w:r>
      <w:r>
        <w:rPr>
          <w:sz w:val="32"/>
          <w:szCs w:val="32"/>
        </w:rPr>
        <w:t>为前提，</w:t>
      </w:r>
      <w:r>
        <w:rPr>
          <w:rFonts w:hint="eastAsia"/>
          <w:sz w:val="32"/>
          <w:szCs w:val="32"/>
        </w:rPr>
        <w:t>安排项目、组织建设，保证农民在项目建设中的参与权、收益权和监督权，充分调动农民积极性</w:t>
      </w:r>
      <w:r>
        <w:rPr>
          <w:sz w:val="32"/>
          <w:szCs w:val="32"/>
        </w:rPr>
        <w:t>。</w:t>
      </w:r>
    </w:p>
    <w:p>
      <w:pPr>
        <w:pStyle w:val="4"/>
      </w:pPr>
      <w:bookmarkStart w:id="17" w:name="_Toc114850772"/>
      <w:r>
        <w:rPr>
          <w:rFonts w:hint="eastAsia"/>
        </w:rPr>
        <w:t>有利条件</w:t>
      </w:r>
      <w:bookmarkEnd w:id="17"/>
    </w:p>
    <w:p>
      <w:pPr>
        <w:pStyle w:val="5"/>
      </w:pPr>
      <w:r>
        <w:rPr>
          <w:rFonts w:hint="eastAsia"/>
        </w:rPr>
        <w:t>宏观政策是高标准农田建设强劲动力</w:t>
      </w:r>
    </w:p>
    <w:p>
      <w:pPr>
        <w:overflowPunct w:val="0"/>
        <w:topLinePunct/>
        <w:spacing w:line="600" w:lineRule="exact"/>
        <w:ind w:firstLine="640"/>
        <w:jc w:val="both"/>
        <w:rPr>
          <w:sz w:val="32"/>
          <w:szCs w:val="32"/>
        </w:rPr>
      </w:pPr>
      <w:r>
        <w:rPr>
          <w:rFonts w:hint="eastAsia"/>
          <w:sz w:val="32"/>
          <w:szCs w:val="32"/>
        </w:rPr>
        <w:t>党中央和国务院对高标准农田建设高度重视，十七届五中全会提出“大规模建设旱涝保收高标准农田”，将高标准农田建设上升为国家层面的战略部署。《乡村振兴战略规划（</w:t>
      </w:r>
      <w:r>
        <w:rPr>
          <w:sz w:val="32"/>
          <w:szCs w:val="32"/>
        </w:rPr>
        <w:t>2018-2022</w:t>
      </w:r>
      <w:r>
        <w:rPr>
          <w:rFonts w:hint="eastAsia"/>
          <w:sz w:val="32"/>
          <w:szCs w:val="32"/>
        </w:rPr>
        <w:t>年）》提出到</w:t>
      </w:r>
      <w:r>
        <w:rPr>
          <w:sz w:val="32"/>
          <w:szCs w:val="32"/>
        </w:rPr>
        <w:t>2022</w:t>
      </w:r>
      <w:r>
        <w:rPr>
          <w:rFonts w:hint="eastAsia"/>
          <w:sz w:val="32"/>
          <w:szCs w:val="32"/>
        </w:rPr>
        <w:t>年建成</w:t>
      </w:r>
      <w:r>
        <w:rPr>
          <w:sz w:val="32"/>
          <w:szCs w:val="32"/>
        </w:rPr>
        <w:t>10</w:t>
      </w:r>
      <w:r>
        <w:rPr>
          <w:rFonts w:hint="eastAsia"/>
          <w:sz w:val="32"/>
          <w:szCs w:val="32"/>
        </w:rPr>
        <w:t>亿亩高标准农田</w:t>
      </w:r>
      <w:r>
        <w:rPr>
          <w:sz w:val="32"/>
          <w:szCs w:val="32"/>
        </w:rPr>
        <w:t>，</w:t>
      </w:r>
      <w:r>
        <w:rPr>
          <w:rFonts w:hint="eastAsia"/>
          <w:sz w:val="32"/>
          <w:szCs w:val="32"/>
        </w:rPr>
        <w:t>《中华人民共和国国民经济和社会发展第十四个五年规划和</w:t>
      </w:r>
      <w:r>
        <w:rPr>
          <w:sz w:val="32"/>
          <w:szCs w:val="32"/>
        </w:rPr>
        <w:t>2035</w:t>
      </w:r>
      <w:r>
        <w:rPr>
          <w:rFonts w:hint="eastAsia"/>
          <w:sz w:val="32"/>
          <w:szCs w:val="32"/>
        </w:rPr>
        <w:t>年远景目标纲要》要求“十四五”末建成</w:t>
      </w:r>
      <w:r>
        <w:rPr>
          <w:sz w:val="32"/>
          <w:szCs w:val="32"/>
        </w:rPr>
        <w:t>10</w:t>
      </w:r>
      <w:r>
        <w:rPr>
          <w:rFonts w:hint="eastAsia"/>
          <w:sz w:val="32"/>
          <w:szCs w:val="32"/>
        </w:rPr>
        <w:t>.</w:t>
      </w:r>
      <w:r>
        <w:rPr>
          <w:sz w:val="32"/>
          <w:szCs w:val="32"/>
        </w:rPr>
        <w:t>75</w:t>
      </w:r>
      <w:r>
        <w:rPr>
          <w:rFonts w:hint="eastAsia"/>
          <w:sz w:val="32"/>
          <w:szCs w:val="32"/>
        </w:rPr>
        <w:t>亿亩集中连片高标准农田</w:t>
      </w:r>
      <w:r>
        <w:rPr>
          <w:sz w:val="32"/>
          <w:szCs w:val="32"/>
        </w:rPr>
        <w:t>，</w:t>
      </w:r>
      <w:r>
        <w:rPr>
          <w:rFonts w:hint="eastAsia"/>
          <w:sz w:val="32"/>
          <w:szCs w:val="32"/>
        </w:rPr>
        <w:t>《全国国土规划纲要（</w:t>
      </w:r>
      <w:r>
        <w:rPr>
          <w:sz w:val="32"/>
          <w:szCs w:val="32"/>
        </w:rPr>
        <w:t>2016-2030</w:t>
      </w:r>
      <w:r>
        <w:rPr>
          <w:rFonts w:hint="eastAsia"/>
          <w:sz w:val="32"/>
          <w:szCs w:val="32"/>
        </w:rPr>
        <w:t>年）》提出到</w:t>
      </w:r>
      <w:r>
        <w:rPr>
          <w:sz w:val="32"/>
          <w:szCs w:val="32"/>
        </w:rPr>
        <w:t>2030</w:t>
      </w:r>
      <w:r>
        <w:rPr>
          <w:rFonts w:hint="eastAsia"/>
          <w:sz w:val="32"/>
          <w:szCs w:val="32"/>
        </w:rPr>
        <w:t>年建成</w:t>
      </w:r>
      <w:r>
        <w:rPr>
          <w:sz w:val="32"/>
          <w:szCs w:val="32"/>
        </w:rPr>
        <w:t>12</w:t>
      </w:r>
      <w:r>
        <w:rPr>
          <w:rFonts w:hint="eastAsia"/>
          <w:sz w:val="32"/>
          <w:szCs w:val="32"/>
        </w:rPr>
        <w:t>亿亩高标准农田。吉林省将高标准农田占耕地面积的比重作为基本实现农业现代化的考核指标出台了相关的加强标准化高标准农田建设的政策，制定了专项规划，指导高标准农田建设工作，这些都是九台区推动高标准农田建设的强大动力。</w:t>
      </w:r>
    </w:p>
    <w:p>
      <w:pPr>
        <w:pStyle w:val="5"/>
      </w:pPr>
      <w:r>
        <w:rPr>
          <w:rFonts w:hint="eastAsia"/>
        </w:rPr>
        <w:t>丰富的经验是实施高标准农田建设的保证</w:t>
      </w:r>
    </w:p>
    <w:p>
      <w:pPr>
        <w:overflowPunct w:val="0"/>
        <w:topLinePunct/>
        <w:spacing w:line="600" w:lineRule="exact"/>
        <w:ind w:firstLine="640"/>
        <w:jc w:val="both"/>
        <w:rPr>
          <w:sz w:val="32"/>
          <w:szCs w:val="32"/>
        </w:rPr>
      </w:pPr>
      <w:r>
        <w:rPr>
          <w:rFonts w:hint="eastAsia"/>
          <w:sz w:val="32"/>
          <w:szCs w:val="32"/>
        </w:rPr>
        <w:t>2</w:t>
      </w:r>
      <w:r>
        <w:rPr>
          <w:sz w:val="32"/>
          <w:szCs w:val="32"/>
        </w:rPr>
        <w:t>011</w:t>
      </w:r>
      <w:r>
        <w:rPr>
          <w:rFonts w:hint="eastAsia"/>
          <w:sz w:val="32"/>
          <w:szCs w:val="32"/>
        </w:rPr>
        <w:t>年以来，九台区先后实施了土地整理、农业综合开发、新增千亿斤粮食产能等各种类型的高标准农田建设项目，全区实际建成高标准农田总面积12</w:t>
      </w:r>
      <w:r>
        <w:rPr>
          <w:sz w:val="32"/>
          <w:szCs w:val="32"/>
        </w:rPr>
        <w:t>6.14</w:t>
      </w:r>
      <w:r>
        <w:rPr>
          <w:rFonts w:hint="eastAsia"/>
          <w:sz w:val="32"/>
          <w:szCs w:val="32"/>
        </w:rPr>
        <w:t>万亩，占九台区耕地总面积的3</w:t>
      </w:r>
      <w:r>
        <w:rPr>
          <w:sz w:val="32"/>
          <w:szCs w:val="32"/>
        </w:rPr>
        <w:t>5.34</w:t>
      </w:r>
      <w:r>
        <w:rPr>
          <w:rFonts w:hint="eastAsia"/>
          <w:sz w:val="32"/>
          <w:szCs w:val="32"/>
        </w:rPr>
        <w:t>%。在高标准农田建设实践中，积极探索，不断总结，形成了一些成功的做法、经验和管理办法。特别是在规范建设标准、整合各种资源、建立和完善部门间协调推进机制等方面，九台区在长春市，乃至吉林省都处于前列，为继续推进高标准农田建设奠定了良好基础。随着产业形态不断优化和农业发展方式转变，全区现代农业发展成效将更加显著，农业产业结构更趋合理。此外，不断创新的农业发展载体、经营机制和政策支持均为高标准农田建设创造了良好的条件。</w:t>
      </w:r>
    </w:p>
    <w:p>
      <w:pPr>
        <w:pStyle w:val="5"/>
      </w:pPr>
      <w:r>
        <w:rPr>
          <w:rFonts w:hint="eastAsia"/>
        </w:rPr>
        <w:t>完善的制度是高标准农田建设的坚强保障</w:t>
      </w:r>
    </w:p>
    <w:p>
      <w:pPr>
        <w:overflowPunct w:val="0"/>
        <w:topLinePunct/>
        <w:spacing w:line="600" w:lineRule="exact"/>
        <w:ind w:firstLine="640"/>
        <w:jc w:val="both"/>
        <w:rPr>
          <w:sz w:val="32"/>
          <w:szCs w:val="32"/>
        </w:rPr>
      </w:pPr>
      <w:r>
        <w:rPr>
          <w:rFonts w:hint="eastAsia"/>
          <w:sz w:val="32"/>
          <w:szCs w:val="32"/>
        </w:rPr>
        <w:t>九台区在高标准农田项目建设中逐步摸索出了一套行之有效的管理制度和办法。项目申报实行严格的专家评审制、公示制；项目实施全面推行公开竞争招标，建立项目法人责任制，强化工程监理；资金管理严格实行区级财政报账制，确保资金规范使用、专款专用；项目和资金监督全面推行审计制，建设单位应委托具有相应资质的中介机构进行工程估算审计。通过推进项目管理“三权分离”改革，对项目管理的决策、执行和监督三个环节管理权的适度有机分离，构建决策科学、执行有力、监督到位的管理体系。</w:t>
      </w:r>
    </w:p>
    <w:p>
      <w:pPr>
        <w:pStyle w:val="4"/>
      </w:pPr>
      <w:bookmarkStart w:id="18" w:name="_Toc114850773"/>
      <w:r>
        <w:t>存在问题</w:t>
      </w:r>
      <w:bookmarkEnd w:id="18"/>
    </w:p>
    <w:p>
      <w:pPr>
        <w:pStyle w:val="5"/>
      </w:pPr>
      <w:bookmarkStart w:id="19" w:name="bookmark51"/>
      <w:bookmarkEnd w:id="19"/>
      <w:r>
        <w:rPr>
          <w:rFonts w:hint="eastAsia"/>
        </w:rPr>
        <w:t>耕地灌溉能力不足及养分供给能力下降</w:t>
      </w:r>
    </w:p>
    <w:p>
      <w:pPr>
        <w:overflowPunct w:val="0"/>
        <w:topLinePunct/>
        <w:spacing w:line="600" w:lineRule="exact"/>
        <w:ind w:firstLine="640"/>
        <w:jc w:val="both"/>
        <w:rPr>
          <w:sz w:val="32"/>
          <w:szCs w:val="32"/>
        </w:rPr>
      </w:pPr>
      <w:r>
        <w:rPr>
          <w:rFonts w:hint="eastAsia"/>
          <w:sz w:val="32"/>
          <w:szCs w:val="32"/>
        </w:rPr>
        <w:t>全区旱地总面积</w:t>
      </w:r>
      <w:r>
        <w:rPr>
          <w:sz w:val="32"/>
          <w:szCs w:val="32"/>
        </w:rPr>
        <w:t>295.12</w:t>
      </w:r>
      <w:r>
        <w:rPr>
          <w:rFonts w:hint="eastAsia"/>
          <w:sz w:val="32"/>
          <w:szCs w:val="32"/>
        </w:rPr>
        <w:t>万亩，占规划区</w:t>
      </w:r>
      <w:r>
        <w:rPr>
          <w:sz w:val="32"/>
          <w:szCs w:val="32"/>
        </w:rPr>
        <w:t>耕地</w:t>
      </w:r>
      <w:r>
        <w:rPr>
          <w:rFonts w:hint="eastAsia"/>
          <w:sz w:val="32"/>
          <w:szCs w:val="32"/>
        </w:rPr>
        <w:t>总</w:t>
      </w:r>
      <w:r>
        <w:rPr>
          <w:sz w:val="32"/>
          <w:szCs w:val="32"/>
        </w:rPr>
        <w:t>面积</w:t>
      </w:r>
      <w:r>
        <w:rPr>
          <w:rFonts w:hint="eastAsia"/>
          <w:sz w:val="32"/>
          <w:szCs w:val="32"/>
        </w:rPr>
        <w:t>的</w:t>
      </w:r>
      <w:r>
        <w:rPr>
          <w:sz w:val="32"/>
          <w:szCs w:val="32"/>
        </w:rPr>
        <w:t>89.43%</w:t>
      </w:r>
      <w:r>
        <w:rPr>
          <w:rFonts w:hint="eastAsia"/>
          <w:sz w:val="32"/>
          <w:szCs w:val="32"/>
        </w:rPr>
        <w:t>。九台区89%的旱田耕地没有水灌溉条件，春季干旱季节，只有少部分旱田能用人工拉水灌，达到催芽坐水种的效果。旱田中玉米种植面积约占68.3%，玉米种植面积大，多年连作。地里施用农家肥很少，大量施用化肥。现代大型机械耕作严重不够，土地耕作方式相对传统，土壤肥力贫瘠板结犁底层升高，耕作层较浅，土壤变硬，耕作层土壤自我调节能力严重下降，土壤墒情差，土壤里所需养分供给能力下降。水田灌溉使用的水很多是地下水源，水温不高严重影响了土里微生物和稻苗生长，有机肥用量少，化肥施用方法不得当，造成土壤养分没有得到有效的提离，甚至出现了下降的趋势。</w:t>
      </w:r>
    </w:p>
    <w:p>
      <w:pPr>
        <w:pStyle w:val="5"/>
      </w:pPr>
      <w:r>
        <w:rPr>
          <w:rFonts w:hint="eastAsia"/>
        </w:rPr>
        <w:t>土壤侵蚀导致水土流失加剧</w:t>
      </w:r>
    </w:p>
    <w:p>
      <w:pPr>
        <w:spacing w:line="600" w:lineRule="exact"/>
        <w:ind w:firstLine="640"/>
        <w:jc w:val="both"/>
        <w:rPr>
          <w:sz w:val="32"/>
          <w:szCs w:val="32"/>
        </w:rPr>
      </w:pPr>
      <w:r>
        <w:rPr>
          <w:rFonts w:hint="eastAsia"/>
          <w:sz w:val="32"/>
          <w:szCs w:val="32"/>
        </w:rPr>
        <w:t>九台区土壤侵蚀导致水土流失加剧现象以东部低山丘陵区为主，现有重度侵蚀耕地31.8万亩，占全区总耕地面积的</w:t>
      </w:r>
      <w:r>
        <w:rPr>
          <w:sz w:val="32"/>
          <w:szCs w:val="32"/>
        </w:rPr>
        <w:t>8.91</w:t>
      </w:r>
      <w:r>
        <w:rPr>
          <w:rFonts w:hint="eastAsia"/>
          <w:sz w:val="32"/>
          <w:szCs w:val="32"/>
        </w:rPr>
        <w:t>%；中度侵蚀耕地27.9万亩，占全区总耕地面积的</w:t>
      </w:r>
      <w:r>
        <w:rPr>
          <w:sz w:val="32"/>
          <w:szCs w:val="32"/>
        </w:rPr>
        <w:t>7.82</w:t>
      </w:r>
      <w:r>
        <w:rPr>
          <w:rFonts w:hint="eastAsia"/>
          <w:sz w:val="32"/>
          <w:szCs w:val="32"/>
        </w:rPr>
        <w:t>%。部分地区掠夺式经营造成严重的水土流失，近年来由于农民生活水平不断提高，绝大多数农民都使用上了小拖拉机翻耕农田，由于小型农机具田间作业次数的增加对土壤压实作用明显增大，土壤有效土层变薄。频繁翻动使土壤孔隙增加，有机质分解速度加快，这样会显著降低土壤有机质含量，破坏土壤结构，由于没有一套科学耕作和管理措施，黑土构型被破坏，旱涝灾害加重导致严重的水土流失。</w:t>
      </w:r>
    </w:p>
    <w:p>
      <w:pPr>
        <w:pStyle w:val="5"/>
      </w:pPr>
      <w:bookmarkStart w:id="20" w:name="bookmark52"/>
      <w:bookmarkEnd w:id="20"/>
      <w:bookmarkStart w:id="21" w:name="bookmark53"/>
      <w:bookmarkEnd w:id="21"/>
      <w:bookmarkStart w:id="22" w:name="bookmark54"/>
      <w:bookmarkEnd w:id="22"/>
      <w:r>
        <w:t>高标准农田配套建设滞后</w:t>
      </w:r>
    </w:p>
    <w:p>
      <w:pPr>
        <w:overflowPunct w:val="0"/>
        <w:topLinePunct/>
        <w:spacing w:line="600" w:lineRule="exact"/>
        <w:ind w:firstLine="640"/>
        <w:jc w:val="both"/>
        <w:rPr>
          <w:sz w:val="32"/>
          <w:szCs w:val="32"/>
        </w:rPr>
      </w:pPr>
      <w:r>
        <w:rPr>
          <w:rFonts w:hint="eastAsia"/>
          <w:sz w:val="32"/>
          <w:szCs w:val="32"/>
        </w:rPr>
        <w:t>九台区</w:t>
      </w:r>
      <w:r>
        <w:rPr>
          <w:sz w:val="32"/>
          <w:szCs w:val="32"/>
        </w:rPr>
        <w:t>在高标准农田建设实践中，还存在着</w:t>
      </w:r>
      <w:r>
        <w:rPr>
          <w:rFonts w:hint="eastAsia"/>
          <w:sz w:val="32"/>
          <w:szCs w:val="32"/>
        </w:rPr>
        <w:t>“厚此薄彼”的现象：对</w:t>
      </w:r>
      <w:r>
        <w:rPr>
          <w:sz w:val="32"/>
          <w:szCs w:val="32"/>
        </w:rPr>
        <w:t>农田水利工程</w:t>
      </w:r>
      <w:r>
        <w:rPr>
          <w:rFonts w:hint="eastAsia"/>
          <w:sz w:val="32"/>
          <w:szCs w:val="32"/>
        </w:rPr>
        <w:t>田间道路工程</w:t>
      </w:r>
      <w:r>
        <w:rPr>
          <w:sz w:val="32"/>
          <w:szCs w:val="32"/>
        </w:rPr>
        <w:t>等“硬件”实体工程建设</w:t>
      </w:r>
      <w:r>
        <w:rPr>
          <w:rFonts w:hint="eastAsia"/>
          <w:sz w:val="32"/>
          <w:szCs w:val="32"/>
        </w:rPr>
        <w:t>十分重视</w:t>
      </w:r>
      <w:r>
        <w:rPr>
          <w:sz w:val="32"/>
          <w:szCs w:val="32"/>
        </w:rPr>
        <w:t>，从规划设计到实施，均精心布置，工程做得精、细、实、优，</w:t>
      </w:r>
      <w:r>
        <w:rPr>
          <w:rFonts w:hint="eastAsia"/>
          <w:sz w:val="32"/>
          <w:szCs w:val="32"/>
        </w:rPr>
        <w:t>但是</w:t>
      </w:r>
      <w:r>
        <w:rPr>
          <w:sz w:val="32"/>
          <w:szCs w:val="32"/>
        </w:rPr>
        <w:t>对土壤改良、科技服务、农民培训等“软件”无形措施的重视和实施力度相对不足</w:t>
      </w:r>
      <w:r>
        <w:rPr>
          <w:rFonts w:hint="eastAsia"/>
          <w:sz w:val="32"/>
          <w:szCs w:val="32"/>
        </w:rPr>
        <w:t>，</w:t>
      </w:r>
      <w:r>
        <w:rPr>
          <w:rFonts w:hint="eastAsia" w:cs="宋体"/>
          <w:kern w:val="0"/>
          <w:sz w:val="32"/>
          <w:szCs w:val="32"/>
          <w:lang w:val="zh-CN" w:bidi="zh-CN"/>
        </w:rPr>
        <w:t>农艺措施实施、大型农机具投入等投入比例小</w:t>
      </w:r>
      <w:r>
        <w:rPr>
          <w:rFonts w:hint="eastAsia"/>
          <w:sz w:val="32"/>
          <w:szCs w:val="32"/>
        </w:rPr>
        <w:t>。此外，由于</w:t>
      </w:r>
      <w:r>
        <w:rPr>
          <w:sz w:val="32"/>
          <w:szCs w:val="32"/>
        </w:rPr>
        <w:t>农业适度规模经营偏小，龙头企业和家庭农场等新型农业经营主体发展跟不上农业发展需要，农业生产组织化程度不高等问题，</w:t>
      </w:r>
      <w:r>
        <w:rPr>
          <w:rFonts w:hint="eastAsia"/>
          <w:sz w:val="32"/>
          <w:szCs w:val="32"/>
        </w:rPr>
        <w:t>都</w:t>
      </w:r>
      <w:r>
        <w:rPr>
          <w:sz w:val="32"/>
          <w:szCs w:val="32"/>
        </w:rPr>
        <w:t>在一定程度上影响了高标准农田基础设施建设效益的发挥。</w:t>
      </w:r>
    </w:p>
    <w:p>
      <w:pPr>
        <w:pStyle w:val="5"/>
      </w:pPr>
      <w:bookmarkStart w:id="23" w:name="bookmark55"/>
      <w:bookmarkEnd w:id="23"/>
      <w:r>
        <w:rPr>
          <w:rFonts w:hint="eastAsia"/>
        </w:rPr>
        <w:t>高标准农田建设完成</w:t>
      </w:r>
      <w:r>
        <w:t>后管护不</w:t>
      </w:r>
      <w:r>
        <w:rPr>
          <w:rFonts w:hint="eastAsia"/>
        </w:rPr>
        <w:t>足</w:t>
      </w:r>
    </w:p>
    <w:p>
      <w:pPr>
        <w:overflowPunct w:val="0"/>
        <w:topLinePunct/>
        <w:spacing w:line="600" w:lineRule="exact"/>
        <w:ind w:firstLine="640"/>
        <w:jc w:val="both"/>
        <w:rPr>
          <w:sz w:val="32"/>
          <w:szCs w:val="32"/>
        </w:rPr>
      </w:pPr>
      <w:r>
        <w:rPr>
          <w:rFonts w:hint="eastAsia"/>
          <w:sz w:val="32"/>
          <w:szCs w:val="32"/>
        </w:rPr>
        <w:t>要保障高标准农田项目长久发挥效益，后期运行管护是关键。目前运行管护缺失的问题比较突出，“重建轻管”的问题依然存在。项目完工后要移交到乡镇（街道）和村屯管理，由于区政府、乡镇（街道）及村屯经济基础薄弱，管护资金无力落实，同时还存在农民管护技术方法不够专业、管护意识不强等多种原因，导致有的工程建成几年就出现沟渠堵塞、道路损坏，泵站、变压器被毁、被盗等现象。</w:t>
      </w:r>
    </w:p>
    <w:p>
      <w:pPr>
        <w:pStyle w:val="4"/>
      </w:pPr>
      <w:bookmarkStart w:id="24" w:name="_Toc114850774"/>
      <w:r>
        <w:rPr>
          <w:rFonts w:hint="eastAsia"/>
        </w:rPr>
        <w:t>必要性分析</w:t>
      </w:r>
      <w:bookmarkEnd w:id="24"/>
    </w:p>
    <w:p>
      <w:pPr>
        <w:pStyle w:val="5"/>
      </w:pPr>
      <w:r>
        <w:rPr>
          <w:rFonts w:hint="eastAsia"/>
        </w:rPr>
        <w:t>促进农业农村发展，推动乡村振兴战略的需要</w:t>
      </w:r>
    </w:p>
    <w:p>
      <w:pPr>
        <w:overflowPunct w:val="0"/>
        <w:topLinePunct/>
        <w:spacing w:line="600" w:lineRule="exact"/>
        <w:ind w:firstLine="640"/>
        <w:jc w:val="both"/>
        <w:rPr>
          <w:sz w:val="32"/>
          <w:szCs w:val="32"/>
        </w:rPr>
      </w:pPr>
      <w:r>
        <w:rPr>
          <w:rFonts w:hint="eastAsia"/>
          <w:sz w:val="32"/>
          <w:szCs w:val="32"/>
        </w:rPr>
        <w:t>建设高标准农田，提高农田设施和装备水平，是中央乡村振兴战略的重要目标任务，是促进农业农村发展的重要措施。通过高标准农田建设，提高和带动农村各方面的基础设施建设，促进管理水平提高，有利于改善农村面貌，提高农村发展水平，早日实现乡村振兴战略的宏伟目标。</w:t>
      </w:r>
    </w:p>
    <w:p>
      <w:pPr>
        <w:pStyle w:val="5"/>
      </w:pPr>
      <w:r>
        <w:rPr>
          <w:rFonts w:hint="eastAsia"/>
        </w:rPr>
        <w:t>改善农业生产条件，提高农业装备水平的需要</w:t>
      </w:r>
    </w:p>
    <w:p>
      <w:pPr>
        <w:overflowPunct w:val="0"/>
        <w:topLinePunct/>
        <w:spacing w:line="600" w:lineRule="exact"/>
        <w:ind w:firstLine="640"/>
        <w:jc w:val="both"/>
        <w:rPr>
          <w:sz w:val="32"/>
          <w:szCs w:val="32"/>
        </w:rPr>
      </w:pPr>
      <w:r>
        <w:rPr>
          <w:rFonts w:hint="eastAsia"/>
          <w:sz w:val="32"/>
          <w:szCs w:val="32"/>
        </w:rPr>
        <w:t>通过高标准农田建设，完善灌溉、电力、农田林网等基础设施，改善、改良土壤，提高灌溉保障率、节约水电等消耗，为农业增产、农民增收创造有利条件。同时通过高标准农田建设，有利于解决当前农村存在的农田碎片化的状况，有利于推广农田机械化作业，有利于解决制约农村发展的劳动力不足等问题。</w:t>
      </w:r>
    </w:p>
    <w:p>
      <w:pPr>
        <w:pStyle w:val="5"/>
      </w:pPr>
      <w:r>
        <w:rPr>
          <w:rFonts w:hint="eastAsia"/>
        </w:rPr>
        <w:t>优化农业产业结构，促进农业增效增收的需要</w:t>
      </w:r>
    </w:p>
    <w:p>
      <w:pPr>
        <w:overflowPunct w:val="0"/>
        <w:topLinePunct/>
        <w:spacing w:line="600" w:lineRule="exact"/>
        <w:ind w:firstLine="640"/>
        <w:jc w:val="both"/>
        <w:rPr>
          <w:sz w:val="32"/>
          <w:szCs w:val="32"/>
        </w:rPr>
      </w:pPr>
      <w:r>
        <w:rPr>
          <w:rFonts w:hint="eastAsia"/>
          <w:sz w:val="32"/>
          <w:szCs w:val="32"/>
        </w:rPr>
        <w:t>通过高标准农田建设和相关工程实施，农田质量得到明显提高，有利于发展具有明显九台区地方特色的优势农业主导产业，有利于对优势特色产业，实行区域化布局、规模化发展，有利于提升农业的整体效率和效益，促进农民增收致富。</w:t>
      </w:r>
    </w:p>
    <w:p>
      <w:pPr>
        <w:pStyle w:val="5"/>
      </w:pPr>
      <w:r>
        <w:rPr>
          <w:rFonts w:hint="eastAsia"/>
        </w:rPr>
        <w:t>加大城乡统筹，推动城乡一体化的需要</w:t>
      </w:r>
    </w:p>
    <w:p>
      <w:pPr>
        <w:overflowPunct w:val="0"/>
        <w:topLinePunct/>
        <w:spacing w:line="600" w:lineRule="exact"/>
        <w:ind w:firstLine="640"/>
        <w:jc w:val="both"/>
        <w:rPr>
          <w:sz w:val="32"/>
          <w:szCs w:val="32"/>
        </w:rPr>
      </w:pPr>
      <w:r>
        <w:rPr>
          <w:rFonts w:hint="eastAsia"/>
          <w:sz w:val="32"/>
          <w:szCs w:val="32"/>
        </w:rPr>
        <w:t>大力实施高标准农田建设是实行以工补农、以工带农、以城市带动农村共同发展的有效措施，有利于加快农业和农村发展，是实行城乡统筹发展，是推动城乡一体化的有效措施。</w:t>
      </w:r>
    </w:p>
    <w:p>
      <w:pPr>
        <w:pStyle w:val="5"/>
      </w:pPr>
      <w:r>
        <w:rPr>
          <w:rFonts w:hint="eastAsia"/>
        </w:rPr>
        <w:t>改善人居环境，建设美丽宜居乡村的需要</w:t>
      </w:r>
    </w:p>
    <w:p>
      <w:pPr>
        <w:overflowPunct w:val="0"/>
        <w:topLinePunct/>
        <w:spacing w:line="600" w:lineRule="exact"/>
        <w:ind w:firstLine="640"/>
        <w:jc w:val="both"/>
        <w:rPr>
          <w:sz w:val="32"/>
          <w:szCs w:val="32"/>
        </w:rPr>
      </w:pPr>
      <w:r>
        <w:rPr>
          <w:rFonts w:hint="eastAsia"/>
          <w:sz w:val="32"/>
          <w:szCs w:val="32"/>
        </w:rPr>
        <w:t>高标准农田建设对改善农业生产环境，改变农村脏乱差面貌有明显的推动和促进作用。通过高标准农田建设可以在很大程度上改善农村的居住生活环境，对建设美丽宜居乡村意义重大。</w:t>
      </w:r>
    </w:p>
    <w:p>
      <w:pPr>
        <w:widowControl/>
        <w:adjustRightInd/>
        <w:snapToGrid/>
        <w:spacing w:line="240" w:lineRule="auto"/>
        <w:ind w:firstLine="0" w:firstLineChars="0"/>
      </w:pPr>
      <w:r>
        <w:br w:type="page"/>
      </w:r>
    </w:p>
    <w:p>
      <w:pPr>
        <w:pStyle w:val="3"/>
        <w:rPr>
          <w:rFonts w:ascii="Times New Roman"/>
        </w:rPr>
      </w:pPr>
      <w:bookmarkStart w:id="25" w:name="_Toc114850775"/>
      <w:r>
        <w:rPr>
          <w:rFonts w:hint="eastAsia" w:ascii="Times New Roman"/>
        </w:rPr>
        <w:t>总体要求</w:t>
      </w:r>
      <w:bookmarkEnd w:id="25"/>
    </w:p>
    <w:p>
      <w:pPr>
        <w:pStyle w:val="4"/>
      </w:pPr>
      <w:bookmarkStart w:id="26" w:name="_Toc114850776"/>
      <w:r>
        <w:t>指导思想</w:t>
      </w:r>
      <w:bookmarkEnd w:id="26"/>
    </w:p>
    <w:p>
      <w:pPr>
        <w:overflowPunct w:val="0"/>
        <w:topLinePunct/>
        <w:spacing w:line="600" w:lineRule="exact"/>
        <w:ind w:firstLine="640"/>
        <w:jc w:val="both"/>
        <w:rPr>
          <w:sz w:val="32"/>
          <w:szCs w:val="32"/>
        </w:rPr>
      </w:pPr>
      <w:r>
        <w:rPr>
          <w:rFonts w:hint="eastAsia"/>
          <w:sz w:val="32"/>
          <w:szCs w:val="32"/>
        </w:rPr>
        <w:t>以习近平新时代中国特色社会主义思想为指导，深入贯彻党的十九大和十九届二中、三中、四中、五中全会精神，立足新发展阶段，完整、准确、全面贯彻新发展理念，构建新发展格局，全面落实中央经济工作会议和中央农村工作会议部署，紧紧围绕全面推进乡村振兴、加快农业农村现代化，以推动高质量发展为主题，深入实施藏粮于地、藏粮于技战略，立足确保谷物基本自给、口粮绝对安全，以提升粮食产能为首要目标，以农产品主产区为主体，以永久基本农田、粮食生产功能区、重要农产品生产保护区为重点区域，优先建设口粮田，坚持新增建设和改造提升并重、建设数量和建成质量并重、工程建设和建后管护并重，产能提升和绿色发展相协调，统一组织实施与分区分类施策相结合，健全中央统筹、省负总责、市县乡抓落实、群众参与的工作机制，注重提质增效，强化监督考核，实现高质量建设、高效率管理、高水平利用，切实补上农业基础设施短板，确保建一块成一块，提高水土资源利用效率，增强农田防灾抗灾减灾能力，把建成的高标准农田划为永久基本农田，实行特殊保护，遏制“非农化”、防止“非粮化”，为保障国家粮食安全和重要农产品有效供给提供坚实基础。</w:t>
      </w:r>
    </w:p>
    <w:p>
      <w:pPr>
        <w:pStyle w:val="4"/>
      </w:pPr>
      <w:bookmarkStart w:id="27" w:name="_Toc114850777"/>
      <w:r>
        <w:t>基本原则</w:t>
      </w:r>
      <w:bookmarkEnd w:id="27"/>
    </w:p>
    <w:p>
      <w:pPr>
        <w:pStyle w:val="5"/>
      </w:pPr>
      <w:r>
        <w:rPr>
          <w:rFonts w:hint="eastAsia"/>
        </w:rPr>
        <w:t>科学布局、突出重点</w:t>
      </w:r>
    </w:p>
    <w:p>
      <w:pPr>
        <w:overflowPunct w:val="0"/>
        <w:topLinePunct/>
        <w:spacing w:line="600" w:lineRule="exact"/>
        <w:ind w:firstLine="640"/>
        <w:jc w:val="both"/>
        <w:rPr>
          <w:sz w:val="32"/>
          <w:szCs w:val="32"/>
        </w:rPr>
      </w:pPr>
      <w:r>
        <w:rPr>
          <w:rFonts w:hint="eastAsia"/>
          <w:sz w:val="32"/>
          <w:szCs w:val="32"/>
        </w:rPr>
        <w:t>衔接土地利用总体规划、水资源利用等相关专项规划，坚持以水定地，把水资源作为重要的刚性约束，科学合理确定高标准农田建设布局，以永久基本农田为基础，优先在粮食生产功能区和重要农产品生产保护区建设高标准农田，筑牢保障国家粮食和重要农产品安全的首要阵地。</w:t>
      </w:r>
    </w:p>
    <w:p>
      <w:pPr>
        <w:pStyle w:val="5"/>
      </w:pPr>
      <w:r>
        <w:t>整体推进，连片建设</w:t>
      </w:r>
    </w:p>
    <w:p>
      <w:pPr>
        <w:overflowPunct w:val="0"/>
        <w:topLinePunct/>
        <w:spacing w:line="600" w:lineRule="exact"/>
        <w:ind w:firstLine="640"/>
        <w:jc w:val="both"/>
        <w:rPr>
          <w:sz w:val="32"/>
          <w:szCs w:val="32"/>
        </w:rPr>
      </w:pPr>
      <w:r>
        <w:rPr>
          <w:sz w:val="32"/>
          <w:szCs w:val="32"/>
        </w:rPr>
        <w:t>根据</w:t>
      </w:r>
      <w:r>
        <w:rPr>
          <w:rFonts w:hint="eastAsia"/>
          <w:sz w:val="32"/>
          <w:szCs w:val="32"/>
        </w:rPr>
        <w:t>九台区</w:t>
      </w:r>
      <w:r>
        <w:rPr>
          <w:sz w:val="32"/>
          <w:szCs w:val="32"/>
        </w:rPr>
        <w:t>农田分布和自然条件状况，加强与相关规划衔接，选择重点建设地区，因地制宜地合理确定农田连片规模，统一规划设计，采取集中投入、连片治理、整体推进的建设方式，确保建一片成一片</w:t>
      </w:r>
      <w:r>
        <w:rPr>
          <w:rFonts w:hint="eastAsia"/>
          <w:sz w:val="32"/>
          <w:szCs w:val="32"/>
        </w:rPr>
        <w:t>，</w:t>
      </w:r>
      <w:r>
        <w:rPr>
          <w:sz w:val="32"/>
          <w:szCs w:val="32"/>
        </w:rPr>
        <w:t>根据</w:t>
      </w:r>
      <w:r>
        <w:rPr>
          <w:rFonts w:hint="eastAsia"/>
          <w:sz w:val="32"/>
          <w:szCs w:val="32"/>
        </w:rPr>
        <w:t>高标准</w:t>
      </w:r>
      <w:r>
        <w:rPr>
          <w:sz w:val="32"/>
          <w:szCs w:val="32"/>
        </w:rPr>
        <w:t>农田建设实际，探索整</w:t>
      </w:r>
      <w:r>
        <w:rPr>
          <w:rFonts w:hint="eastAsia"/>
          <w:sz w:val="32"/>
          <w:szCs w:val="32"/>
        </w:rPr>
        <w:t>体</w:t>
      </w:r>
      <w:r>
        <w:rPr>
          <w:sz w:val="32"/>
          <w:szCs w:val="32"/>
        </w:rPr>
        <w:t>推进。</w:t>
      </w:r>
    </w:p>
    <w:p>
      <w:pPr>
        <w:pStyle w:val="5"/>
      </w:pPr>
      <w:r>
        <w:t>高标准建设，高水平利用</w:t>
      </w:r>
    </w:p>
    <w:p>
      <w:pPr>
        <w:overflowPunct w:val="0"/>
        <w:topLinePunct/>
        <w:spacing w:line="600" w:lineRule="exact"/>
        <w:ind w:firstLine="640"/>
        <w:jc w:val="both"/>
        <w:rPr>
          <w:sz w:val="32"/>
          <w:szCs w:val="32"/>
        </w:rPr>
      </w:pPr>
      <w:r>
        <w:rPr>
          <w:sz w:val="32"/>
          <w:szCs w:val="32"/>
        </w:rPr>
        <w:t>提高设计和建设标准，切实改变建设标准偏低、不能适应现代农业发展需要的局面。建成后通过产业化等措施，大力发展农产品和农业服务业，实现一二三产融合发展，高水平利用，提高农田的生产效率和效益。</w:t>
      </w:r>
    </w:p>
    <w:p>
      <w:pPr>
        <w:pStyle w:val="5"/>
      </w:pPr>
      <w:r>
        <w:rPr>
          <w:rFonts w:hint="eastAsia"/>
        </w:rPr>
        <w:t>落实新建，提质并重</w:t>
      </w:r>
    </w:p>
    <w:p>
      <w:pPr>
        <w:overflowPunct w:val="0"/>
        <w:topLinePunct/>
        <w:spacing w:line="600" w:lineRule="exact"/>
        <w:ind w:firstLine="640"/>
        <w:jc w:val="both"/>
        <w:rPr>
          <w:sz w:val="32"/>
          <w:szCs w:val="32"/>
        </w:rPr>
      </w:pPr>
      <w:r>
        <w:rPr>
          <w:sz w:val="32"/>
          <w:szCs w:val="32"/>
        </w:rPr>
        <w:t>分解落实高标准农田年度建设任务</w:t>
      </w:r>
      <w:r>
        <w:rPr>
          <w:rFonts w:hint="eastAsia"/>
          <w:sz w:val="32"/>
          <w:szCs w:val="32"/>
        </w:rPr>
        <w:t>，在保证新增建设任务的基础上，结合各乡镇（街道）以往高标准农田建设的实际情况，对已建项目区进行改造提升，确保改造提升后的农田符合高标准农田标准。</w:t>
      </w:r>
    </w:p>
    <w:p>
      <w:pPr>
        <w:pStyle w:val="5"/>
      </w:pPr>
      <w:r>
        <w:t>绿色生态、土壤健康</w:t>
      </w:r>
    </w:p>
    <w:p>
      <w:pPr>
        <w:overflowPunct w:val="0"/>
        <w:topLinePunct/>
        <w:spacing w:line="600" w:lineRule="exact"/>
        <w:ind w:firstLine="640"/>
        <w:jc w:val="both"/>
        <w:rPr>
          <w:sz w:val="32"/>
          <w:szCs w:val="32"/>
        </w:rPr>
      </w:pPr>
      <w:r>
        <w:rPr>
          <w:sz w:val="32"/>
          <w:szCs w:val="32"/>
        </w:rPr>
        <w:t>将绿色发展理念贯穿于高标准农田建设全过程，切实加强水土资源节约集约循环利用和生态环境保护，强化耕地质量保护与提升，防止土壤污染，实现农业生产与生态保护相协调，持续提升农业综合生产能力。</w:t>
      </w:r>
    </w:p>
    <w:p>
      <w:pPr>
        <w:pStyle w:val="5"/>
      </w:pPr>
      <w:r>
        <w:t>建管结合，长</w:t>
      </w:r>
      <w:r>
        <w:rPr>
          <w:rFonts w:hint="eastAsia"/>
        </w:rPr>
        <w:t>效</w:t>
      </w:r>
      <w:r>
        <w:t>发挥</w:t>
      </w:r>
    </w:p>
    <w:p>
      <w:pPr>
        <w:overflowPunct w:val="0"/>
        <w:topLinePunct/>
        <w:spacing w:line="600" w:lineRule="exact"/>
        <w:ind w:firstLine="640"/>
        <w:jc w:val="both"/>
        <w:rPr>
          <w:sz w:val="32"/>
          <w:szCs w:val="32"/>
        </w:rPr>
      </w:pPr>
      <w:r>
        <w:rPr>
          <w:sz w:val="32"/>
          <w:szCs w:val="32"/>
        </w:rPr>
        <w:t>按照标准化要求加强项目建设管理，建成后及时确权登记</w:t>
      </w:r>
      <w:r>
        <w:rPr>
          <w:rFonts w:hint="eastAsia"/>
          <w:sz w:val="32"/>
          <w:szCs w:val="32"/>
        </w:rPr>
        <w:t>，</w:t>
      </w:r>
      <w:r>
        <w:rPr>
          <w:sz w:val="32"/>
          <w:szCs w:val="32"/>
        </w:rPr>
        <w:t>健全管护机制，明确管护主体，落实管护责任和管护经费；加强对项目工程管护工作的督查指导和监测评价，强化信息管理，确保工程规范、良性运行，长久发挥效益。</w:t>
      </w:r>
    </w:p>
    <w:p>
      <w:pPr>
        <w:pStyle w:val="5"/>
      </w:pPr>
      <w:r>
        <w:t>农民自愿，组织有力</w:t>
      </w:r>
    </w:p>
    <w:p>
      <w:pPr>
        <w:overflowPunct w:val="0"/>
        <w:topLinePunct/>
        <w:spacing w:line="600" w:lineRule="exact"/>
        <w:ind w:firstLine="640"/>
        <w:jc w:val="both"/>
        <w:rPr>
          <w:sz w:val="32"/>
          <w:szCs w:val="32"/>
        </w:rPr>
      </w:pPr>
      <w:r>
        <w:rPr>
          <w:rFonts w:hint="eastAsia"/>
          <w:sz w:val="32"/>
          <w:szCs w:val="32"/>
        </w:rPr>
        <w:t>高标准</w:t>
      </w:r>
      <w:r>
        <w:rPr>
          <w:sz w:val="32"/>
          <w:szCs w:val="32"/>
        </w:rPr>
        <w:t>农田建设的区域规划和项目实施的条件首先是农民自愿，</w:t>
      </w:r>
      <w:r>
        <w:rPr>
          <w:rFonts w:hint="eastAsia"/>
          <w:sz w:val="32"/>
          <w:szCs w:val="32"/>
        </w:rPr>
        <w:t>乡镇</w:t>
      </w:r>
      <w:r>
        <w:rPr>
          <w:sz w:val="32"/>
          <w:szCs w:val="32"/>
        </w:rPr>
        <w:t>（</w:t>
      </w:r>
      <w:r>
        <w:rPr>
          <w:rFonts w:hint="eastAsia"/>
          <w:sz w:val="32"/>
          <w:szCs w:val="32"/>
        </w:rPr>
        <w:t>街道</w:t>
      </w:r>
      <w:r>
        <w:rPr>
          <w:sz w:val="32"/>
          <w:szCs w:val="32"/>
        </w:rPr>
        <w:t>）政府积极性高，并具有较强的项目实施组织和管理能力，确保项目顺利实施。</w:t>
      </w:r>
    </w:p>
    <w:p>
      <w:pPr>
        <w:pStyle w:val="4"/>
      </w:pPr>
      <w:bookmarkStart w:id="28" w:name="_Toc114850778"/>
      <w:r>
        <w:rPr>
          <w:rFonts w:hint="eastAsia"/>
        </w:rPr>
        <w:t>规划依据</w:t>
      </w:r>
      <w:bookmarkEnd w:id="28"/>
    </w:p>
    <w:p>
      <w:pPr>
        <w:pStyle w:val="5"/>
        <w:overflowPunct w:val="0"/>
        <w:topLinePunct/>
      </w:pPr>
      <w:r>
        <w:rPr>
          <w:rFonts w:hint="eastAsia"/>
        </w:rPr>
        <w:t>法律法规</w:t>
      </w:r>
    </w:p>
    <w:p>
      <w:pPr>
        <w:numPr>
          <w:ilvl w:val="0"/>
          <w:numId w:val="2"/>
        </w:numPr>
        <w:overflowPunct w:val="0"/>
        <w:topLinePunct/>
        <w:spacing w:line="600" w:lineRule="exact"/>
        <w:ind w:left="420" w:hanging="420" w:firstLineChars="0"/>
        <w:rPr>
          <w:sz w:val="32"/>
        </w:rPr>
      </w:pPr>
      <w:r>
        <w:rPr>
          <w:rFonts w:hint="eastAsia"/>
          <w:sz w:val="32"/>
        </w:rPr>
        <w:t>《中华人民共和国农业法》（2012年修正，2013年1月1日起施行）；</w:t>
      </w:r>
    </w:p>
    <w:p>
      <w:pPr>
        <w:numPr>
          <w:ilvl w:val="0"/>
          <w:numId w:val="2"/>
        </w:numPr>
        <w:overflowPunct w:val="0"/>
        <w:topLinePunct/>
        <w:spacing w:line="600" w:lineRule="exact"/>
        <w:ind w:left="420" w:hanging="420" w:firstLineChars="0"/>
        <w:rPr>
          <w:sz w:val="32"/>
        </w:rPr>
      </w:pPr>
      <w:r>
        <w:rPr>
          <w:rFonts w:hint="eastAsia"/>
          <w:sz w:val="32"/>
        </w:rPr>
        <w:t>《中华人民共和国土地管理法》（2019年修正，2020年1月1日起施行）；</w:t>
      </w:r>
    </w:p>
    <w:p>
      <w:pPr>
        <w:numPr>
          <w:ilvl w:val="0"/>
          <w:numId w:val="2"/>
        </w:numPr>
        <w:overflowPunct w:val="0"/>
        <w:topLinePunct/>
        <w:spacing w:line="600" w:lineRule="exact"/>
        <w:ind w:left="420" w:hanging="420" w:firstLineChars="0"/>
        <w:rPr>
          <w:sz w:val="32"/>
        </w:rPr>
      </w:pPr>
      <w:r>
        <w:rPr>
          <w:rFonts w:hint="eastAsia"/>
          <w:sz w:val="32"/>
        </w:rPr>
        <w:t>《中华人民共和国城乡规划法》（2019年修正，2019年4月23日起施行）；</w:t>
      </w:r>
    </w:p>
    <w:p>
      <w:pPr>
        <w:numPr>
          <w:ilvl w:val="0"/>
          <w:numId w:val="2"/>
        </w:numPr>
        <w:overflowPunct w:val="0"/>
        <w:topLinePunct/>
        <w:spacing w:line="600" w:lineRule="exact"/>
        <w:ind w:left="420" w:hanging="420" w:firstLineChars="0"/>
        <w:rPr>
          <w:sz w:val="32"/>
        </w:rPr>
      </w:pPr>
      <w:r>
        <w:rPr>
          <w:rFonts w:hint="eastAsia"/>
          <w:sz w:val="32"/>
        </w:rPr>
        <w:t>《中华人民共和国环境保护法》（2014年修订，2015年1月1日起施行）；</w:t>
      </w:r>
    </w:p>
    <w:p>
      <w:pPr>
        <w:numPr>
          <w:ilvl w:val="0"/>
          <w:numId w:val="2"/>
        </w:numPr>
        <w:overflowPunct w:val="0"/>
        <w:topLinePunct/>
        <w:spacing w:line="600" w:lineRule="exact"/>
        <w:ind w:left="420" w:hanging="420" w:firstLineChars="0"/>
        <w:rPr>
          <w:sz w:val="32"/>
        </w:rPr>
      </w:pPr>
      <w:r>
        <w:rPr>
          <w:rFonts w:hint="eastAsia"/>
          <w:sz w:val="32"/>
        </w:rPr>
        <w:t>《中华人民共和国环境影响评价法》（2018年修正，2018年12月29日起施行）；</w:t>
      </w:r>
    </w:p>
    <w:p>
      <w:pPr>
        <w:numPr>
          <w:ilvl w:val="0"/>
          <w:numId w:val="2"/>
        </w:numPr>
        <w:overflowPunct w:val="0"/>
        <w:topLinePunct/>
        <w:spacing w:line="600" w:lineRule="exact"/>
        <w:ind w:left="420" w:hanging="420" w:firstLineChars="0"/>
        <w:rPr>
          <w:sz w:val="32"/>
        </w:rPr>
      </w:pPr>
      <w:r>
        <w:rPr>
          <w:rFonts w:hint="eastAsia"/>
          <w:sz w:val="32"/>
        </w:rPr>
        <w:t>《中华人民共和国气象法》（2016年修正，2016年11月7日起施行）；</w:t>
      </w:r>
    </w:p>
    <w:p>
      <w:pPr>
        <w:numPr>
          <w:ilvl w:val="0"/>
          <w:numId w:val="2"/>
        </w:numPr>
        <w:overflowPunct w:val="0"/>
        <w:topLinePunct/>
        <w:spacing w:line="600" w:lineRule="exact"/>
        <w:ind w:left="420" w:hanging="420" w:firstLineChars="0"/>
        <w:rPr>
          <w:sz w:val="32"/>
        </w:rPr>
      </w:pPr>
      <w:r>
        <w:rPr>
          <w:rFonts w:hint="eastAsia"/>
          <w:sz w:val="32"/>
        </w:rPr>
        <w:t>《基本农田保护条例》（2011年修订，2011年1月8日起施行）；</w:t>
      </w:r>
    </w:p>
    <w:p>
      <w:pPr>
        <w:numPr>
          <w:ilvl w:val="0"/>
          <w:numId w:val="2"/>
        </w:numPr>
        <w:overflowPunct w:val="0"/>
        <w:topLinePunct/>
        <w:spacing w:line="600" w:lineRule="exact"/>
        <w:ind w:left="420" w:hanging="420" w:firstLineChars="0"/>
        <w:jc w:val="both"/>
        <w:rPr>
          <w:sz w:val="32"/>
        </w:rPr>
      </w:pPr>
      <w:r>
        <w:rPr>
          <w:rFonts w:hint="eastAsia"/>
          <w:sz w:val="32"/>
        </w:rPr>
        <w:t>《中华人民共和国黑土地保护法》（</w:t>
      </w:r>
      <w:r>
        <w:rPr>
          <w:sz w:val="32"/>
        </w:rPr>
        <w:t>2022年8月1日起施行</w:t>
      </w:r>
      <w:r>
        <w:rPr>
          <w:rFonts w:hint="eastAsia"/>
          <w:sz w:val="32"/>
        </w:rPr>
        <w:t>）；</w:t>
      </w:r>
    </w:p>
    <w:p>
      <w:pPr>
        <w:numPr>
          <w:ilvl w:val="0"/>
          <w:numId w:val="2"/>
        </w:numPr>
        <w:overflowPunct w:val="0"/>
        <w:topLinePunct/>
        <w:spacing w:line="600" w:lineRule="exact"/>
        <w:ind w:left="420" w:hanging="420" w:firstLineChars="0"/>
        <w:rPr>
          <w:sz w:val="32"/>
        </w:rPr>
      </w:pPr>
      <w:r>
        <w:rPr>
          <w:rFonts w:hint="eastAsia"/>
          <w:sz w:val="32"/>
        </w:rPr>
        <w:t>《吉林省黑土地保护条例》（</w:t>
      </w:r>
      <w:r>
        <w:rPr>
          <w:sz w:val="32"/>
        </w:rPr>
        <w:t>2021</w:t>
      </w:r>
      <w:r>
        <w:rPr>
          <w:rFonts w:hint="eastAsia"/>
          <w:sz w:val="32"/>
        </w:rPr>
        <w:t>年修正，2</w:t>
      </w:r>
      <w:r>
        <w:rPr>
          <w:sz w:val="32"/>
        </w:rPr>
        <w:t>021</w:t>
      </w:r>
      <w:r>
        <w:rPr>
          <w:rFonts w:hint="eastAsia"/>
          <w:sz w:val="32"/>
        </w:rPr>
        <w:t>年5月2</w:t>
      </w:r>
      <w:r>
        <w:rPr>
          <w:sz w:val="32"/>
        </w:rPr>
        <w:t>7</w:t>
      </w:r>
      <w:r>
        <w:rPr>
          <w:rFonts w:hint="eastAsia"/>
          <w:sz w:val="32"/>
        </w:rPr>
        <w:t>日施行）</w:t>
      </w:r>
    </w:p>
    <w:p>
      <w:pPr>
        <w:overflowPunct w:val="0"/>
        <w:topLinePunct/>
        <w:spacing w:line="600" w:lineRule="exact"/>
        <w:ind w:firstLine="640"/>
        <w:rPr>
          <w:sz w:val="32"/>
        </w:rPr>
      </w:pPr>
      <w:r>
        <w:rPr>
          <w:rFonts w:hint="eastAsia"/>
          <w:sz w:val="32"/>
        </w:rPr>
        <w:t>其他相关法律、法规等。</w:t>
      </w:r>
    </w:p>
    <w:p>
      <w:pPr>
        <w:pStyle w:val="5"/>
        <w:overflowPunct w:val="0"/>
        <w:topLinePunct/>
      </w:pPr>
      <w:r>
        <w:rPr>
          <w:rFonts w:hint="eastAsia"/>
        </w:rPr>
        <w:t>政策文件依据</w:t>
      </w:r>
    </w:p>
    <w:p>
      <w:pPr>
        <w:numPr>
          <w:ilvl w:val="0"/>
          <w:numId w:val="3"/>
        </w:numPr>
        <w:overflowPunct w:val="0"/>
        <w:topLinePunct/>
        <w:spacing w:line="600" w:lineRule="exact"/>
        <w:ind w:firstLineChars="0"/>
        <w:rPr>
          <w:sz w:val="32"/>
        </w:rPr>
      </w:pPr>
      <w:r>
        <w:rPr>
          <w:rFonts w:hint="eastAsia"/>
          <w:sz w:val="32"/>
        </w:rPr>
        <w:t>《农田建设项目管理办法》（农业农村部令〔2019〕第4号）；</w:t>
      </w:r>
    </w:p>
    <w:p>
      <w:pPr>
        <w:numPr>
          <w:ilvl w:val="0"/>
          <w:numId w:val="3"/>
        </w:numPr>
        <w:overflowPunct w:val="0"/>
        <w:topLinePunct/>
        <w:spacing w:line="600" w:lineRule="exact"/>
        <w:ind w:firstLineChars="0"/>
        <w:rPr>
          <w:sz w:val="32"/>
        </w:rPr>
      </w:pPr>
      <w:r>
        <w:rPr>
          <w:rFonts w:hint="eastAsia"/>
          <w:sz w:val="32"/>
        </w:rPr>
        <w:t>《国务院办公厅关于切实加强高标准农田建设提升国家粮食安全保障能力的意见》（国办发〔2019〕50号）；</w:t>
      </w:r>
    </w:p>
    <w:p>
      <w:pPr>
        <w:numPr>
          <w:ilvl w:val="0"/>
          <w:numId w:val="3"/>
        </w:numPr>
        <w:overflowPunct w:val="0"/>
        <w:topLinePunct/>
        <w:spacing w:line="600" w:lineRule="exact"/>
        <w:ind w:firstLineChars="0"/>
        <w:rPr>
          <w:sz w:val="32"/>
        </w:rPr>
      </w:pPr>
      <w:bookmarkStart w:id="29" w:name="_Hlk101346625"/>
      <w:r>
        <w:rPr>
          <w:rFonts w:hint="eastAsia"/>
          <w:sz w:val="32"/>
        </w:rPr>
        <w:t>《国家黑土地保护工程实施方案（2021-2025年）》（农建发〔</w:t>
      </w:r>
      <w:r>
        <w:rPr>
          <w:sz w:val="32"/>
        </w:rPr>
        <w:t>2021</w:t>
      </w:r>
      <w:r>
        <w:rPr>
          <w:rFonts w:hint="eastAsia"/>
          <w:sz w:val="32"/>
        </w:rPr>
        <w:t>〕</w:t>
      </w:r>
      <w:r>
        <w:rPr>
          <w:sz w:val="32"/>
        </w:rPr>
        <w:t>3</w:t>
      </w:r>
      <w:r>
        <w:rPr>
          <w:rFonts w:hint="eastAsia"/>
          <w:sz w:val="32"/>
        </w:rPr>
        <w:t>号）；</w:t>
      </w:r>
    </w:p>
    <w:p>
      <w:pPr>
        <w:numPr>
          <w:ilvl w:val="0"/>
          <w:numId w:val="3"/>
        </w:numPr>
        <w:overflowPunct w:val="0"/>
        <w:topLinePunct/>
        <w:spacing w:line="600" w:lineRule="exact"/>
        <w:ind w:firstLineChars="0"/>
        <w:rPr>
          <w:sz w:val="32"/>
        </w:rPr>
      </w:pPr>
      <w:bookmarkStart w:id="30" w:name="_Hlk101346707"/>
      <w:r>
        <w:rPr>
          <w:rFonts w:hint="eastAsia"/>
          <w:sz w:val="32"/>
        </w:rPr>
        <w:t>《农业农村部办公厅财政部办公厅国家发展改革委办公厅关于进一步做好东北黑土地保护工作的通知》（农办计财〔</w:t>
      </w:r>
      <w:r>
        <w:rPr>
          <w:sz w:val="32"/>
        </w:rPr>
        <w:t>2021</w:t>
      </w:r>
      <w:r>
        <w:rPr>
          <w:rFonts w:hint="eastAsia"/>
          <w:sz w:val="32"/>
        </w:rPr>
        <w:t>〕</w:t>
      </w:r>
      <w:r>
        <w:rPr>
          <w:sz w:val="32"/>
        </w:rPr>
        <w:t>11</w:t>
      </w:r>
      <w:r>
        <w:rPr>
          <w:rFonts w:hint="eastAsia"/>
          <w:sz w:val="32"/>
        </w:rPr>
        <w:t>号）；</w:t>
      </w:r>
    </w:p>
    <w:bookmarkEnd w:id="29"/>
    <w:bookmarkEnd w:id="30"/>
    <w:p>
      <w:pPr>
        <w:numPr>
          <w:ilvl w:val="0"/>
          <w:numId w:val="3"/>
        </w:numPr>
        <w:overflowPunct w:val="0"/>
        <w:topLinePunct/>
        <w:spacing w:line="600" w:lineRule="exact"/>
        <w:ind w:firstLineChars="0"/>
        <w:rPr>
          <w:sz w:val="32"/>
        </w:rPr>
      </w:pPr>
      <w:bookmarkStart w:id="31" w:name="_Hlk101346716"/>
      <w:r>
        <w:rPr>
          <w:rFonts w:hint="eastAsia"/>
          <w:sz w:val="32"/>
        </w:rPr>
        <w:t>《中共吉林省委吉林省人民政府关于全面加强黑土地保护的实施意见》（吉发〔2021〕10号）；</w:t>
      </w:r>
    </w:p>
    <w:bookmarkEnd w:id="31"/>
    <w:p>
      <w:pPr>
        <w:numPr>
          <w:ilvl w:val="0"/>
          <w:numId w:val="3"/>
        </w:numPr>
        <w:overflowPunct w:val="0"/>
        <w:topLinePunct/>
        <w:spacing w:line="600" w:lineRule="exact"/>
        <w:ind w:firstLineChars="0"/>
        <w:rPr>
          <w:sz w:val="32"/>
        </w:rPr>
      </w:pPr>
      <w:r>
        <w:rPr>
          <w:rFonts w:hint="eastAsia"/>
          <w:sz w:val="32"/>
        </w:rPr>
        <w:t>《吉林省人民政府办公厅关于加强粮食生产功能区、重要农产品生产保护区和特色农产品优势区保护的指导意见》（吉政办发〔2019〕2号）；</w:t>
      </w:r>
    </w:p>
    <w:p>
      <w:pPr>
        <w:numPr>
          <w:ilvl w:val="0"/>
          <w:numId w:val="3"/>
        </w:numPr>
        <w:overflowPunct w:val="0"/>
        <w:topLinePunct/>
        <w:spacing w:line="600" w:lineRule="exact"/>
        <w:ind w:firstLineChars="0"/>
        <w:rPr>
          <w:sz w:val="32"/>
        </w:rPr>
      </w:pPr>
      <w:r>
        <w:rPr>
          <w:rFonts w:hint="eastAsia"/>
          <w:sz w:val="32"/>
        </w:rPr>
        <w:t>《吉林省人民政府办公厅关于切实加强高标准农田建设提升国家粮食安全保障能力的实施意见》（吉政办发〔2020〕13号）；</w:t>
      </w:r>
    </w:p>
    <w:p>
      <w:pPr>
        <w:numPr>
          <w:ilvl w:val="0"/>
          <w:numId w:val="3"/>
        </w:numPr>
        <w:overflowPunct w:val="0"/>
        <w:topLinePunct/>
        <w:spacing w:line="600" w:lineRule="exact"/>
        <w:ind w:firstLineChars="0"/>
        <w:rPr>
          <w:sz w:val="32"/>
        </w:rPr>
      </w:pPr>
      <w:r>
        <w:rPr>
          <w:rFonts w:hint="eastAsia"/>
          <w:sz w:val="32"/>
        </w:rPr>
        <w:t>《吉林省农田建设</w:t>
      </w:r>
      <w:r>
        <w:rPr>
          <w:sz w:val="32"/>
        </w:rPr>
        <w:t>项目管理实施办法</w:t>
      </w:r>
      <w:r>
        <w:rPr>
          <w:rFonts w:hint="eastAsia"/>
          <w:sz w:val="32"/>
        </w:rPr>
        <w:t>》（吉农建</w:t>
      </w:r>
      <w:r>
        <w:rPr>
          <w:sz w:val="32"/>
        </w:rPr>
        <w:t>发</w:t>
      </w:r>
      <w:r>
        <w:rPr>
          <w:rFonts w:hint="eastAsia"/>
          <w:sz w:val="32"/>
        </w:rPr>
        <w:t>〔2020〕1</w:t>
      </w:r>
      <w:r>
        <w:rPr>
          <w:sz w:val="32"/>
        </w:rPr>
        <w:t>9</w:t>
      </w:r>
      <w:r>
        <w:rPr>
          <w:rFonts w:hint="eastAsia"/>
          <w:sz w:val="32"/>
        </w:rPr>
        <w:t>号）；</w:t>
      </w:r>
    </w:p>
    <w:p>
      <w:pPr>
        <w:numPr>
          <w:ilvl w:val="0"/>
          <w:numId w:val="3"/>
        </w:numPr>
        <w:overflowPunct w:val="0"/>
        <w:topLinePunct/>
        <w:spacing w:line="600" w:lineRule="exact"/>
        <w:ind w:firstLineChars="0"/>
        <w:rPr>
          <w:sz w:val="32"/>
        </w:rPr>
      </w:pPr>
      <w:r>
        <w:rPr>
          <w:rFonts w:hint="eastAsia"/>
          <w:sz w:val="32"/>
        </w:rPr>
        <w:t>《吉林省黑土地保护工程实施方案（2021-2025年）》（吉政办函〔2021〕141号）；</w:t>
      </w:r>
    </w:p>
    <w:p>
      <w:pPr>
        <w:numPr>
          <w:ilvl w:val="0"/>
          <w:numId w:val="3"/>
        </w:numPr>
        <w:overflowPunct w:val="0"/>
        <w:topLinePunct/>
        <w:spacing w:line="600" w:lineRule="exact"/>
        <w:ind w:firstLineChars="0"/>
        <w:rPr>
          <w:sz w:val="32"/>
        </w:rPr>
      </w:pPr>
      <w:r>
        <w:rPr>
          <w:rFonts w:hint="eastAsia"/>
          <w:sz w:val="32"/>
        </w:rPr>
        <w:t>《吉林省保护性耕作推进行动方案（2</w:t>
      </w:r>
      <w:r>
        <w:rPr>
          <w:sz w:val="32"/>
        </w:rPr>
        <w:t>020-2025</w:t>
      </w:r>
      <w:r>
        <w:rPr>
          <w:rFonts w:hint="eastAsia"/>
          <w:sz w:val="32"/>
        </w:rPr>
        <w:t>年）》（吉农机发〔2</w:t>
      </w:r>
      <w:r>
        <w:rPr>
          <w:sz w:val="32"/>
        </w:rPr>
        <w:t>020</w:t>
      </w:r>
      <w:r>
        <w:rPr>
          <w:rFonts w:hint="eastAsia"/>
          <w:sz w:val="32"/>
        </w:rPr>
        <w:t>〕6号）；</w:t>
      </w:r>
    </w:p>
    <w:p>
      <w:pPr>
        <w:numPr>
          <w:ilvl w:val="0"/>
          <w:numId w:val="3"/>
        </w:numPr>
        <w:overflowPunct w:val="0"/>
        <w:topLinePunct/>
        <w:spacing w:line="600" w:lineRule="exact"/>
        <w:ind w:firstLineChars="0"/>
        <w:rPr>
          <w:sz w:val="32"/>
        </w:rPr>
      </w:pPr>
      <w:r>
        <w:rPr>
          <w:rFonts w:hint="eastAsia"/>
          <w:sz w:val="32"/>
        </w:rPr>
        <w:t>《吉林省人民政府办公厅关于印发吉林省建设占用耕地耕作层土壤剥离利用管理办法的通知》（吉政办发〔2</w:t>
      </w:r>
      <w:r>
        <w:rPr>
          <w:sz w:val="32"/>
        </w:rPr>
        <w:t>022</w:t>
      </w:r>
      <w:r>
        <w:rPr>
          <w:rFonts w:hint="eastAsia"/>
          <w:sz w:val="32"/>
        </w:rPr>
        <w:t>〕</w:t>
      </w:r>
      <w:r>
        <w:rPr>
          <w:sz w:val="32"/>
        </w:rPr>
        <w:t>17</w:t>
      </w:r>
      <w:r>
        <w:rPr>
          <w:rFonts w:hint="eastAsia"/>
          <w:sz w:val="32"/>
        </w:rPr>
        <w:t>号）；</w:t>
      </w:r>
    </w:p>
    <w:p>
      <w:pPr>
        <w:overflowPunct w:val="0"/>
        <w:topLinePunct/>
        <w:spacing w:line="600" w:lineRule="exact"/>
        <w:ind w:left="425" w:firstLine="0" w:firstLineChars="0"/>
        <w:jc w:val="both"/>
        <w:rPr>
          <w:sz w:val="32"/>
        </w:rPr>
      </w:pPr>
      <w:r>
        <w:rPr>
          <w:rFonts w:hint="eastAsia"/>
          <w:sz w:val="32"/>
        </w:rPr>
        <w:t>其他政策文件依据。</w:t>
      </w:r>
    </w:p>
    <w:p>
      <w:pPr>
        <w:pStyle w:val="5"/>
      </w:pPr>
      <w:r>
        <w:t>其他</w:t>
      </w:r>
      <w:r>
        <w:rPr>
          <w:rFonts w:hint="eastAsia"/>
        </w:rPr>
        <w:t>调查成果</w:t>
      </w:r>
    </w:p>
    <w:p>
      <w:pPr>
        <w:numPr>
          <w:ilvl w:val="0"/>
          <w:numId w:val="4"/>
        </w:numPr>
        <w:spacing w:line="600" w:lineRule="exact"/>
        <w:ind w:firstLineChars="0"/>
        <w:jc w:val="both"/>
        <w:rPr>
          <w:sz w:val="32"/>
        </w:rPr>
      </w:pPr>
      <w:r>
        <w:rPr>
          <w:rFonts w:hint="eastAsia"/>
          <w:sz w:val="32"/>
        </w:rPr>
        <w:t>九台区“两区”划定成果；</w:t>
      </w:r>
    </w:p>
    <w:p>
      <w:pPr>
        <w:numPr>
          <w:ilvl w:val="0"/>
          <w:numId w:val="4"/>
        </w:numPr>
        <w:spacing w:line="600" w:lineRule="exact"/>
        <w:ind w:firstLineChars="0"/>
        <w:jc w:val="both"/>
        <w:rPr>
          <w:sz w:val="32"/>
        </w:rPr>
      </w:pPr>
      <w:r>
        <w:rPr>
          <w:rFonts w:hint="eastAsia"/>
          <w:sz w:val="32"/>
        </w:rPr>
        <w:t>九台区</w:t>
      </w:r>
      <w:r>
        <w:rPr>
          <w:rFonts w:hint="eastAsia" w:cs="宋体"/>
          <w:bCs/>
          <w:kern w:val="0"/>
          <w:sz w:val="32"/>
          <w:szCs w:val="32"/>
          <w:lang w:bidi="ar"/>
        </w:rPr>
        <w:t>永久基本农田划定成果</w:t>
      </w:r>
      <w:r>
        <w:rPr>
          <w:rFonts w:hint="eastAsia"/>
          <w:sz w:val="32"/>
        </w:rPr>
        <w:t>；</w:t>
      </w:r>
    </w:p>
    <w:p>
      <w:pPr>
        <w:numPr>
          <w:ilvl w:val="0"/>
          <w:numId w:val="4"/>
        </w:numPr>
        <w:spacing w:line="600" w:lineRule="exact"/>
        <w:ind w:firstLineChars="0"/>
        <w:jc w:val="both"/>
        <w:rPr>
          <w:sz w:val="32"/>
        </w:rPr>
      </w:pPr>
      <w:r>
        <w:rPr>
          <w:rFonts w:hint="eastAsia"/>
          <w:sz w:val="32"/>
        </w:rPr>
        <w:t>九台区生态保护红线划定成果；</w:t>
      </w:r>
    </w:p>
    <w:p>
      <w:pPr>
        <w:numPr>
          <w:ilvl w:val="0"/>
          <w:numId w:val="4"/>
        </w:numPr>
        <w:spacing w:line="600" w:lineRule="exact"/>
        <w:ind w:firstLineChars="0"/>
        <w:jc w:val="both"/>
        <w:rPr>
          <w:sz w:val="32"/>
        </w:rPr>
      </w:pPr>
      <w:r>
        <w:rPr>
          <w:rFonts w:hint="eastAsia"/>
          <w:sz w:val="32"/>
        </w:rPr>
        <w:t>九台区土地调查2018年期末数据库。</w:t>
      </w:r>
    </w:p>
    <w:p>
      <w:pPr>
        <w:pStyle w:val="5"/>
      </w:pPr>
      <w:r>
        <w:rPr>
          <w:rFonts w:hint="eastAsia"/>
        </w:rPr>
        <w:t>相关规程</w:t>
      </w:r>
    </w:p>
    <w:p>
      <w:pPr>
        <w:numPr>
          <w:ilvl w:val="0"/>
          <w:numId w:val="5"/>
        </w:numPr>
        <w:spacing w:line="600" w:lineRule="exact"/>
        <w:ind w:firstLineChars="0"/>
        <w:jc w:val="both"/>
        <w:rPr>
          <w:sz w:val="32"/>
        </w:rPr>
      </w:pPr>
      <w:r>
        <w:rPr>
          <w:rFonts w:hint="eastAsia"/>
          <w:sz w:val="32"/>
        </w:rPr>
        <w:t>《高标准农田建设通则》（GB/T</w:t>
      </w:r>
      <w:r>
        <w:rPr>
          <w:sz w:val="32"/>
        </w:rPr>
        <w:t xml:space="preserve"> </w:t>
      </w:r>
      <w:r>
        <w:rPr>
          <w:rFonts w:hint="eastAsia"/>
          <w:sz w:val="32"/>
        </w:rPr>
        <w:t>30600-2022）；</w:t>
      </w:r>
    </w:p>
    <w:p>
      <w:pPr>
        <w:numPr>
          <w:ilvl w:val="0"/>
          <w:numId w:val="5"/>
        </w:numPr>
        <w:spacing w:line="600" w:lineRule="exact"/>
        <w:ind w:firstLineChars="0"/>
        <w:jc w:val="both"/>
        <w:rPr>
          <w:sz w:val="32"/>
        </w:rPr>
      </w:pPr>
      <w:r>
        <w:rPr>
          <w:rFonts w:hint="eastAsia"/>
          <w:sz w:val="32"/>
        </w:rPr>
        <w:t>《农田建设规划编制规程》（NY-T 2247-2012）。</w:t>
      </w:r>
    </w:p>
    <w:p>
      <w:pPr>
        <w:pStyle w:val="4"/>
      </w:pPr>
      <w:bookmarkStart w:id="32" w:name="_Toc114850779"/>
      <w:r>
        <w:t>规划</w:t>
      </w:r>
      <w:r>
        <w:rPr>
          <w:rFonts w:hint="eastAsia"/>
        </w:rPr>
        <w:t>期限</w:t>
      </w:r>
      <w:r>
        <w:t>和</w:t>
      </w:r>
      <w:r>
        <w:rPr>
          <w:rFonts w:hint="eastAsia"/>
        </w:rPr>
        <w:t>规划范围</w:t>
      </w:r>
      <w:bookmarkEnd w:id="32"/>
    </w:p>
    <w:p>
      <w:pPr>
        <w:pStyle w:val="5"/>
      </w:pPr>
      <w:r>
        <w:t>规划期限</w:t>
      </w:r>
    </w:p>
    <w:p>
      <w:pPr>
        <w:spacing w:line="600" w:lineRule="exact"/>
        <w:ind w:firstLine="640"/>
        <w:jc w:val="both"/>
        <w:rPr>
          <w:sz w:val="32"/>
          <w:szCs w:val="32"/>
        </w:rPr>
      </w:pPr>
      <w:r>
        <w:rPr>
          <w:sz w:val="32"/>
          <w:szCs w:val="32"/>
        </w:rPr>
        <w:t>本次规划</w:t>
      </w:r>
      <w:r>
        <w:rPr>
          <w:rFonts w:hint="eastAsia"/>
          <w:sz w:val="32"/>
          <w:szCs w:val="32"/>
        </w:rPr>
        <w:t>的基期年</w:t>
      </w:r>
      <w:r>
        <w:rPr>
          <w:sz w:val="32"/>
          <w:szCs w:val="32"/>
        </w:rPr>
        <w:t>为20</w:t>
      </w:r>
      <w:r>
        <w:rPr>
          <w:rFonts w:hint="eastAsia"/>
          <w:sz w:val="32"/>
          <w:szCs w:val="32"/>
        </w:rPr>
        <w:t>20</w:t>
      </w:r>
      <w:r>
        <w:rPr>
          <w:sz w:val="32"/>
          <w:szCs w:val="32"/>
        </w:rPr>
        <w:t>年，规划期为202</w:t>
      </w:r>
      <w:r>
        <w:rPr>
          <w:rFonts w:hint="eastAsia"/>
          <w:sz w:val="32"/>
          <w:szCs w:val="32"/>
        </w:rPr>
        <w:t>1</w:t>
      </w:r>
      <w:r>
        <w:rPr>
          <w:sz w:val="32"/>
          <w:szCs w:val="32"/>
        </w:rPr>
        <w:t>-2030年。</w:t>
      </w:r>
    </w:p>
    <w:p>
      <w:pPr>
        <w:pStyle w:val="5"/>
      </w:pPr>
      <w:r>
        <w:rPr>
          <w:rFonts w:hint="eastAsia"/>
        </w:rPr>
        <w:t>规划范围</w:t>
      </w:r>
    </w:p>
    <w:p>
      <w:pPr>
        <w:overflowPunct w:val="0"/>
        <w:topLinePunct/>
        <w:spacing w:line="600" w:lineRule="exact"/>
        <w:ind w:firstLine="640"/>
        <w:jc w:val="both"/>
        <w:rPr>
          <w:sz w:val="32"/>
          <w:szCs w:val="32"/>
        </w:rPr>
      </w:pPr>
      <w:r>
        <w:rPr>
          <w:rFonts w:hint="eastAsia"/>
          <w:sz w:val="32"/>
          <w:szCs w:val="32"/>
        </w:rPr>
        <w:t>九台区下辖九台街道、九郊街道、营城街道、卡伦湖街道、东湖街道、土们岭街道、波泥河街道、苇子沟街道、兴隆街道、纪家街道、沐石河街道、城子街街道、龙嘉街道13个街道办事处，辖上河湾、其塔木2个镇，胡家回族乡、莽卡满族乡2个民族乡，共17个乡镇（街道），283个行政村。</w:t>
      </w:r>
    </w:p>
    <w:p>
      <w:pPr>
        <w:overflowPunct w:val="0"/>
        <w:topLinePunct/>
        <w:spacing w:line="600" w:lineRule="exact"/>
        <w:ind w:firstLine="640"/>
        <w:jc w:val="both"/>
        <w:rPr>
          <w:sz w:val="32"/>
          <w:szCs w:val="32"/>
        </w:rPr>
      </w:pPr>
      <w:r>
        <w:rPr>
          <w:rFonts w:hint="eastAsia"/>
          <w:sz w:val="32"/>
          <w:szCs w:val="32"/>
        </w:rPr>
        <w:t>本次对全区高标准农田建设进行了全面规划（由于行政区调整，划出的长春空港开发区和高新北区，不在规划范围，包含西营城镇全镇；龙嘉街道：二道村、腰屯村、袁家村、和平村、南泉村、四家子村、新民村、临河村、莲花村；东湖街道：小岭村、荆家村；卡伦湖街道：幸福村、南岗子村、龙泉村），项目分为新增建设项目和改造提升项目两个类型。</w:t>
      </w:r>
    </w:p>
    <w:p>
      <w:pPr>
        <w:pStyle w:val="4"/>
      </w:pPr>
      <w:bookmarkStart w:id="33" w:name="_Toc114850780"/>
      <w:r>
        <w:rPr>
          <w:rFonts w:hint="eastAsia"/>
        </w:rPr>
        <w:t>项目类型划分原则</w:t>
      </w:r>
      <w:bookmarkEnd w:id="33"/>
    </w:p>
    <w:p>
      <w:pPr>
        <w:spacing w:line="600" w:lineRule="exact"/>
        <w:ind w:firstLine="640"/>
        <w:jc w:val="both"/>
        <w:rPr>
          <w:sz w:val="32"/>
          <w:szCs w:val="32"/>
        </w:rPr>
      </w:pPr>
      <w:r>
        <w:rPr>
          <w:rFonts w:hint="eastAsia"/>
          <w:sz w:val="32"/>
          <w:szCs w:val="32"/>
        </w:rPr>
        <w:t>新增建设</w:t>
      </w:r>
      <w:r>
        <w:rPr>
          <w:rFonts w:hint="eastAsia" w:cs="宋体"/>
          <w:bCs/>
          <w:kern w:val="0"/>
          <w:sz w:val="32"/>
          <w:szCs w:val="32"/>
          <w:lang w:bidi="ar"/>
        </w:rPr>
        <w:t>高标准农田</w:t>
      </w:r>
      <w:r>
        <w:rPr>
          <w:rFonts w:hint="eastAsia"/>
          <w:sz w:val="32"/>
          <w:szCs w:val="32"/>
        </w:rPr>
        <w:t>项目主要涉及</w:t>
      </w:r>
      <w:r>
        <w:rPr>
          <w:sz w:val="32"/>
          <w:szCs w:val="32"/>
        </w:rPr>
        <w:t>从未实施土地整治项目、高标准农田建设项目的</w:t>
      </w:r>
      <w:r>
        <w:rPr>
          <w:rFonts w:hint="eastAsia"/>
          <w:sz w:val="32"/>
          <w:szCs w:val="32"/>
        </w:rPr>
        <w:t>行政村。</w:t>
      </w:r>
    </w:p>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改造提升高标准农田项目规划范围是实施过各类高标准农田建设项目（发改部门、财政部门和自然资源部门）或已上图入库，但因投资标准很低达不到生产要求或因管理不善损毁严重需要改造提升的</w:t>
      </w:r>
      <w:r>
        <w:rPr>
          <w:rFonts w:hint="eastAsia"/>
          <w:sz w:val="32"/>
          <w:szCs w:val="32"/>
        </w:rPr>
        <w:t>行政村</w:t>
      </w:r>
      <w:r>
        <w:rPr>
          <w:rFonts w:hint="eastAsia" w:cs="宋体"/>
          <w:bCs/>
          <w:kern w:val="0"/>
          <w:sz w:val="32"/>
          <w:szCs w:val="32"/>
          <w:lang w:bidi="ar"/>
        </w:rPr>
        <w:t>。</w:t>
      </w:r>
    </w:p>
    <w:p>
      <w:pPr>
        <w:pStyle w:val="4"/>
        <w:rPr>
          <w:lang w:bidi="ar"/>
        </w:rPr>
      </w:pPr>
      <w:bookmarkStart w:id="34" w:name="_Toc114850781"/>
      <w:r>
        <w:rPr>
          <w:rFonts w:hint="eastAsia"/>
          <w:lang w:bidi="ar"/>
        </w:rPr>
        <w:t>与上位规划的衔接</w:t>
      </w:r>
      <w:bookmarkEnd w:id="34"/>
    </w:p>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九台区高标准农田建设规划指标</w:t>
      </w:r>
      <w:bookmarkStart w:id="35" w:name="_Hlk103423248"/>
      <w:r>
        <w:rPr>
          <w:rFonts w:hint="eastAsia" w:cs="宋体"/>
          <w:bCs/>
          <w:kern w:val="0"/>
          <w:sz w:val="32"/>
          <w:szCs w:val="32"/>
          <w:lang w:bidi="ar"/>
        </w:rPr>
        <w:t>与上位规划的衔接</w:t>
      </w:r>
      <w:bookmarkEnd w:id="35"/>
      <w:r>
        <w:rPr>
          <w:rFonts w:hint="eastAsia" w:cs="宋体"/>
          <w:bCs/>
          <w:kern w:val="0"/>
          <w:sz w:val="32"/>
          <w:szCs w:val="32"/>
          <w:lang w:bidi="ar"/>
        </w:rPr>
        <w:t>。依据吉林省高标准农田建设规划指标、长春市高标准农田建设规划指标，编制九台区高标准农田建设规划项目指标。</w:t>
      </w:r>
      <w:bookmarkStart w:id="36" w:name="_Hlk103423622"/>
    </w:p>
    <w:bookmarkEnd w:id="36"/>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九台区高标准农田建设规划</w:t>
      </w:r>
      <w:bookmarkStart w:id="37" w:name="_Hlk103423255"/>
      <w:r>
        <w:rPr>
          <w:rFonts w:hint="eastAsia" w:cs="宋体"/>
          <w:bCs/>
          <w:kern w:val="0"/>
          <w:sz w:val="32"/>
          <w:szCs w:val="32"/>
          <w:lang w:bidi="ar"/>
        </w:rPr>
        <w:t>与本区其他行业规划的衔接</w:t>
      </w:r>
      <w:bookmarkEnd w:id="37"/>
      <w:r>
        <w:rPr>
          <w:rFonts w:hint="eastAsia" w:cs="宋体"/>
          <w:bCs/>
          <w:kern w:val="0"/>
          <w:sz w:val="32"/>
          <w:szCs w:val="32"/>
          <w:lang w:bidi="ar"/>
        </w:rPr>
        <w:t>。参考本区《九台区土地利用总体规划》、《九台区域协同发展规划》、《九台区域村庄建设规划》</w:t>
      </w:r>
      <w:r>
        <w:rPr>
          <w:rFonts w:cs="宋体"/>
          <w:bCs/>
          <w:kern w:val="0"/>
          <w:sz w:val="32"/>
          <w:szCs w:val="32"/>
          <w:lang w:bidi="ar"/>
        </w:rPr>
        <w:t>等</w:t>
      </w:r>
      <w:r>
        <w:rPr>
          <w:rFonts w:hint="eastAsia" w:cs="宋体"/>
          <w:bCs/>
          <w:kern w:val="0"/>
          <w:sz w:val="32"/>
          <w:szCs w:val="32"/>
          <w:lang w:bidi="ar"/>
        </w:rPr>
        <w:t>进行合理化布局。</w:t>
      </w:r>
    </w:p>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九台区高标准农田建设规划空间位置</w:t>
      </w:r>
      <w:bookmarkStart w:id="38" w:name="_Hlk103423264"/>
      <w:r>
        <w:rPr>
          <w:rFonts w:hint="eastAsia" w:cs="宋体"/>
          <w:bCs/>
          <w:kern w:val="0"/>
          <w:sz w:val="32"/>
          <w:szCs w:val="32"/>
          <w:lang w:bidi="ar"/>
        </w:rPr>
        <w:t>与其他普查成果的衔接</w:t>
      </w:r>
      <w:bookmarkEnd w:id="38"/>
      <w:r>
        <w:rPr>
          <w:rFonts w:hint="eastAsia" w:cs="宋体"/>
          <w:bCs/>
          <w:kern w:val="0"/>
          <w:sz w:val="32"/>
          <w:szCs w:val="32"/>
          <w:lang w:bidi="ar"/>
        </w:rPr>
        <w:t>。以九台区土地调查2018年期末数据库为基础，参考九台区粮食生产功能区与重要农产品保护区划定成果、永久基本农田划定成果，确定规划地块的空间位置。</w:t>
      </w:r>
    </w:p>
    <w:p>
      <w:pPr>
        <w:pStyle w:val="4"/>
      </w:pPr>
      <w:bookmarkStart w:id="39" w:name="_Toc114850782"/>
      <w:r>
        <w:t>总体目标</w:t>
      </w:r>
      <w:bookmarkEnd w:id="39"/>
    </w:p>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通过新增建设高标准农田项目和改造提升高标准农田项目，确保到2025年累计建成</w:t>
      </w:r>
      <w:r>
        <w:rPr>
          <w:rFonts w:cs="宋体"/>
          <w:bCs/>
          <w:kern w:val="0"/>
          <w:sz w:val="32"/>
          <w:szCs w:val="32"/>
          <w:lang w:bidi="ar"/>
        </w:rPr>
        <w:t>171.14</w:t>
      </w:r>
      <w:r>
        <w:rPr>
          <w:rFonts w:hint="eastAsia" w:cs="宋体"/>
          <w:bCs/>
          <w:kern w:val="0"/>
          <w:sz w:val="32"/>
          <w:szCs w:val="32"/>
          <w:lang w:bidi="ar"/>
        </w:rPr>
        <w:t>万亩高标准农田，改造提升高标准农田累计12万亩，新增高效节水灌溉累计1万亩；到2030年累计建成</w:t>
      </w:r>
      <w:r>
        <w:rPr>
          <w:rFonts w:cs="宋体"/>
          <w:bCs/>
          <w:kern w:val="0"/>
          <w:sz w:val="32"/>
          <w:szCs w:val="32"/>
          <w:lang w:bidi="ar"/>
        </w:rPr>
        <w:t>196.14</w:t>
      </w:r>
      <w:r>
        <w:rPr>
          <w:rFonts w:hint="eastAsia" w:cs="宋体"/>
          <w:bCs/>
          <w:kern w:val="0"/>
          <w:sz w:val="32"/>
          <w:szCs w:val="32"/>
          <w:lang w:bidi="ar"/>
        </w:rPr>
        <w:t>万亩高标准农田，改造提升高标准农田累计38万亩。</w:t>
      </w:r>
    </w:p>
    <w:p>
      <w:pPr>
        <w:pStyle w:val="2"/>
        <w:ind w:left="560" w:firstLine="560"/>
        <w:rPr>
          <w:lang w:bidi="ar"/>
        </w:rPr>
      </w:pPr>
    </w:p>
    <w:p>
      <w:pPr>
        <w:ind w:firstLine="560"/>
        <w:rPr>
          <w:lang w:bidi="ar"/>
        </w:rPr>
      </w:pPr>
    </w:p>
    <w:p>
      <w:pPr>
        <w:pStyle w:val="49"/>
        <w:spacing w:before="156" w:beforeLines="50"/>
        <w:rPr>
          <w:rFonts w:eastAsia="仿宋"/>
          <w:sz w:val="28"/>
          <w:szCs w:val="28"/>
        </w:rPr>
      </w:pPr>
      <w:r>
        <w:rPr>
          <w:rFonts w:hint="eastAsia" w:eastAsia="仿宋"/>
          <w:sz w:val="28"/>
          <w:szCs w:val="28"/>
        </w:rPr>
        <w:t>表3-1</w:t>
      </w:r>
      <w:r>
        <w:rPr>
          <w:rFonts w:eastAsia="仿宋"/>
          <w:sz w:val="28"/>
          <w:szCs w:val="28"/>
        </w:rPr>
        <w:tab/>
      </w:r>
      <w:r>
        <w:rPr>
          <w:rFonts w:eastAsia="仿宋"/>
          <w:sz w:val="28"/>
          <w:szCs w:val="28"/>
        </w:rPr>
        <w:t xml:space="preserve">                   </w:t>
      </w:r>
      <w:r>
        <w:rPr>
          <w:rFonts w:hint="eastAsia" w:eastAsia="仿宋"/>
          <w:sz w:val="28"/>
          <w:szCs w:val="28"/>
        </w:rPr>
        <w:t>长春市九台区高标准农田建设主要指标表</w:t>
      </w:r>
    </w:p>
    <w:tbl>
      <w:tblPr>
        <w:tblStyle w:val="29"/>
        <w:tblW w:w="5000" w:type="pct"/>
        <w:jc w:val="center"/>
        <w:tblLayout w:type="autofit"/>
        <w:tblCellMar>
          <w:top w:w="0" w:type="dxa"/>
          <w:left w:w="108" w:type="dxa"/>
          <w:bottom w:w="0" w:type="dxa"/>
          <w:right w:w="108" w:type="dxa"/>
        </w:tblCellMar>
      </w:tblPr>
      <w:tblGrid>
        <w:gridCol w:w="869"/>
        <w:gridCol w:w="3351"/>
        <w:gridCol w:w="3883"/>
        <w:gridCol w:w="1128"/>
      </w:tblGrid>
      <w:tr>
        <w:tblPrEx>
          <w:tblCellMar>
            <w:top w:w="0" w:type="dxa"/>
            <w:left w:w="108" w:type="dxa"/>
            <w:bottom w:w="0" w:type="dxa"/>
            <w:right w:w="108" w:type="dxa"/>
          </w:tblCellMar>
        </w:tblPrEx>
        <w:trPr>
          <w:trHeight w:val="397" w:hRule="atLeast"/>
          <w:tblHeader/>
          <w:jc w:val="center"/>
        </w:trPr>
        <w:tc>
          <w:tcPr>
            <w:tcW w:w="4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序号</w:t>
            </w:r>
          </w:p>
        </w:tc>
        <w:tc>
          <w:tcPr>
            <w:tcW w:w="1815" w:type="pct"/>
            <w:tcBorders>
              <w:top w:val="single" w:color="000000" w:sz="8" w:space="0"/>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主要指标</w:t>
            </w:r>
          </w:p>
        </w:tc>
        <w:tc>
          <w:tcPr>
            <w:tcW w:w="2103" w:type="pct"/>
            <w:tcBorders>
              <w:top w:val="single" w:color="000000" w:sz="8" w:space="0"/>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目标值</w:t>
            </w:r>
          </w:p>
        </w:tc>
        <w:tc>
          <w:tcPr>
            <w:tcW w:w="612" w:type="pct"/>
            <w:tcBorders>
              <w:top w:val="single" w:color="000000" w:sz="8" w:space="0"/>
              <w:left w:val="nil"/>
              <w:bottom w:val="single" w:color="000000" w:sz="8" w:space="0"/>
              <w:right w:val="single" w:color="000000" w:sz="8"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属性</w:t>
            </w:r>
          </w:p>
        </w:tc>
      </w:tr>
      <w:tr>
        <w:tblPrEx>
          <w:tblCellMar>
            <w:top w:w="0" w:type="dxa"/>
            <w:left w:w="108" w:type="dxa"/>
            <w:bottom w:w="0" w:type="dxa"/>
            <w:right w:w="108" w:type="dxa"/>
          </w:tblCellMar>
        </w:tblPrEx>
        <w:trPr>
          <w:trHeight w:val="397" w:hRule="atLeast"/>
          <w:jc w:val="center"/>
        </w:trPr>
        <w:tc>
          <w:tcPr>
            <w:tcW w:w="471" w:type="pct"/>
            <w:vMerge w:val="restart"/>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cs="Times New Roman"/>
                <w:kern w:val="0"/>
                <w:szCs w:val="28"/>
              </w:rPr>
            </w:pPr>
            <w:r>
              <w:rPr>
                <w:rFonts w:hint="eastAsia" w:cs="Times New Roman"/>
                <w:kern w:val="0"/>
                <w:szCs w:val="28"/>
              </w:rPr>
              <w:t>1</w:t>
            </w:r>
          </w:p>
        </w:tc>
        <w:tc>
          <w:tcPr>
            <w:tcW w:w="181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新增建设高标准农田面积</w:t>
            </w: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w:t>
            </w:r>
            <w:r>
              <w:rPr>
                <w:rFonts w:cs="Times New Roman"/>
                <w:kern w:val="0"/>
                <w:szCs w:val="28"/>
              </w:rPr>
              <w:t>2020</w:t>
            </w:r>
            <w:r>
              <w:rPr>
                <w:rFonts w:hint="eastAsia" w:cs="宋体"/>
                <w:kern w:val="0"/>
                <w:szCs w:val="28"/>
              </w:rPr>
              <w:t>年：12</w:t>
            </w:r>
            <w:r>
              <w:rPr>
                <w:rFonts w:cs="宋体"/>
                <w:kern w:val="0"/>
                <w:szCs w:val="28"/>
              </w:rPr>
              <w:t>6.14</w:t>
            </w:r>
            <w:r>
              <w:rPr>
                <w:rFonts w:hint="eastAsia" w:cs="宋体"/>
                <w:kern w:val="0"/>
                <w:szCs w:val="28"/>
              </w:rPr>
              <w:t>万亩</w:t>
            </w:r>
          </w:p>
        </w:tc>
        <w:tc>
          <w:tcPr>
            <w:tcW w:w="612" w:type="pct"/>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现势性</w:t>
            </w:r>
          </w:p>
        </w:tc>
      </w:tr>
      <w:tr>
        <w:tblPrEx>
          <w:tblCellMar>
            <w:top w:w="0" w:type="dxa"/>
            <w:left w:w="108" w:type="dxa"/>
            <w:bottom w:w="0" w:type="dxa"/>
            <w:right w:w="108" w:type="dxa"/>
          </w:tblCellMar>
        </w:tblPrEx>
        <w:trPr>
          <w:trHeight w:val="397" w:hRule="atLeast"/>
          <w:jc w:val="center"/>
        </w:trPr>
        <w:tc>
          <w:tcPr>
            <w:tcW w:w="471"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rPr>
                <w:rFonts w:cs="Times New Roman"/>
                <w:kern w:val="0"/>
                <w:szCs w:val="28"/>
              </w:rPr>
            </w:pPr>
          </w:p>
        </w:tc>
        <w:tc>
          <w:tcPr>
            <w:tcW w:w="1815" w:type="pct"/>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w:t>
            </w:r>
            <w:r>
              <w:rPr>
                <w:rFonts w:cs="Times New Roman"/>
                <w:kern w:val="0"/>
                <w:szCs w:val="28"/>
              </w:rPr>
              <w:t>2025</w:t>
            </w:r>
            <w:r>
              <w:rPr>
                <w:rFonts w:hint="eastAsia" w:cs="宋体"/>
                <w:kern w:val="0"/>
                <w:szCs w:val="28"/>
              </w:rPr>
              <w:t>年：</w:t>
            </w:r>
            <w:r>
              <w:rPr>
                <w:rFonts w:cs="Times New Roman"/>
                <w:kern w:val="0"/>
                <w:szCs w:val="28"/>
              </w:rPr>
              <w:t>171.14</w:t>
            </w:r>
            <w:r>
              <w:rPr>
                <w:rFonts w:hint="eastAsia" w:cs="宋体"/>
                <w:kern w:val="0"/>
                <w:szCs w:val="28"/>
              </w:rPr>
              <w:t>万亩</w:t>
            </w:r>
          </w:p>
        </w:tc>
        <w:tc>
          <w:tcPr>
            <w:tcW w:w="612" w:type="pct"/>
            <w:vMerge w:val="restart"/>
            <w:tcBorders>
              <w:top w:val="nil"/>
              <w:left w:val="nil"/>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约束性</w:t>
            </w:r>
          </w:p>
        </w:tc>
      </w:tr>
      <w:tr>
        <w:tblPrEx>
          <w:tblCellMar>
            <w:top w:w="0" w:type="dxa"/>
            <w:left w:w="108" w:type="dxa"/>
            <w:bottom w:w="0" w:type="dxa"/>
            <w:right w:w="108" w:type="dxa"/>
          </w:tblCellMar>
        </w:tblPrEx>
        <w:trPr>
          <w:trHeight w:val="397" w:hRule="atLeast"/>
          <w:jc w:val="center"/>
        </w:trPr>
        <w:tc>
          <w:tcPr>
            <w:tcW w:w="471"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rPr>
                <w:rFonts w:cs="Times New Roman"/>
                <w:kern w:val="0"/>
                <w:szCs w:val="28"/>
              </w:rPr>
            </w:pPr>
          </w:p>
        </w:tc>
        <w:tc>
          <w:tcPr>
            <w:tcW w:w="1815" w:type="pct"/>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w:t>
            </w:r>
            <w:r>
              <w:rPr>
                <w:rFonts w:cs="Times New Roman"/>
                <w:kern w:val="0"/>
                <w:szCs w:val="28"/>
              </w:rPr>
              <w:t>2030</w:t>
            </w:r>
            <w:r>
              <w:rPr>
                <w:rFonts w:hint="eastAsia" w:cs="宋体"/>
                <w:kern w:val="0"/>
                <w:szCs w:val="28"/>
              </w:rPr>
              <w:t>年：</w:t>
            </w:r>
            <w:r>
              <w:rPr>
                <w:rFonts w:cs="Times New Roman"/>
                <w:kern w:val="0"/>
                <w:szCs w:val="28"/>
              </w:rPr>
              <w:t>196.14</w:t>
            </w:r>
            <w:r>
              <w:rPr>
                <w:rFonts w:hint="eastAsia" w:cs="宋体"/>
                <w:kern w:val="0"/>
                <w:szCs w:val="28"/>
              </w:rPr>
              <w:t>万亩</w:t>
            </w:r>
          </w:p>
        </w:tc>
        <w:tc>
          <w:tcPr>
            <w:tcW w:w="612" w:type="pct"/>
            <w:vMerge w:val="continue"/>
            <w:tcBorders>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p>
        </w:tc>
      </w:tr>
      <w:tr>
        <w:tblPrEx>
          <w:tblCellMar>
            <w:top w:w="0" w:type="dxa"/>
            <w:left w:w="108" w:type="dxa"/>
            <w:bottom w:w="0" w:type="dxa"/>
            <w:right w:w="108" w:type="dxa"/>
          </w:tblCellMar>
        </w:tblPrEx>
        <w:trPr>
          <w:trHeight w:val="397" w:hRule="atLeast"/>
          <w:jc w:val="center"/>
        </w:trPr>
        <w:tc>
          <w:tcPr>
            <w:tcW w:w="471" w:type="pct"/>
            <w:vMerge w:val="restart"/>
            <w:tcBorders>
              <w:top w:val="nil"/>
              <w:left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w:t>
            </w:r>
          </w:p>
        </w:tc>
        <w:tc>
          <w:tcPr>
            <w:tcW w:w="1815" w:type="pct"/>
            <w:vMerge w:val="restart"/>
            <w:tcBorders>
              <w:top w:val="nil"/>
              <w:left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改造提升高标准农田面积</w:t>
            </w: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w:t>
            </w:r>
            <w:r>
              <w:rPr>
                <w:rFonts w:cs="Times New Roman"/>
                <w:kern w:val="0"/>
                <w:szCs w:val="28"/>
              </w:rPr>
              <w:t>2025</w:t>
            </w:r>
            <w:r>
              <w:rPr>
                <w:rFonts w:hint="eastAsia" w:cs="宋体"/>
                <w:kern w:val="0"/>
                <w:szCs w:val="28"/>
              </w:rPr>
              <w:t>年：</w:t>
            </w:r>
            <w:r>
              <w:rPr>
                <w:rFonts w:hint="eastAsia" w:cs="Times New Roman"/>
                <w:kern w:val="0"/>
                <w:szCs w:val="28"/>
              </w:rPr>
              <w:t>12</w:t>
            </w:r>
            <w:r>
              <w:rPr>
                <w:rFonts w:hint="eastAsia" w:cs="宋体"/>
                <w:kern w:val="0"/>
                <w:szCs w:val="28"/>
              </w:rPr>
              <w:t>万亩</w:t>
            </w:r>
          </w:p>
        </w:tc>
        <w:tc>
          <w:tcPr>
            <w:tcW w:w="612" w:type="pct"/>
            <w:vMerge w:val="restart"/>
            <w:tcBorders>
              <w:top w:val="nil"/>
              <w:left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约束性</w:t>
            </w:r>
          </w:p>
        </w:tc>
      </w:tr>
      <w:tr>
        <w:tblPrEx>
          <w:tblCellMar>
            <w:top w:w="0" w:type="dxa"/>
            <w:left w:w="108" w:type="dxa"/>
            <w:bottom w:w="0" w:type="dxa"/>
            <w:right w:w="108" w:type="dxa"/>
          </w:tblCellMar>
        </w:tblPrEx>
        <w:trPr>
          <w:trHeight w:val="397" w:hRule="atLeast"/>
          <w:jc w:val="center"/>
        </w:trPr>
        <w:tc>
          <w:tcPr>
            <w:tcW w:w="471" w:type="pct"/>
            <w:vMerge w:val="continue"/>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rPr>
                <w:rFonts w:cs="Times New Roman"/>
                <w:kern w:val="0"/>
                <w:szCs w:val="28"/>
              </w:rPr>
            </w:pPr>
          </w:p>
        </w:tc>
        <w:tc>
          <w:tcPr>
            <w:tcW w:w="1815" w:type="pct"/>
            <w:vMerge w:val="continue"/>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jc w:val="center"/>
              <w:rPr>
                <w:rFonts w:cs="宋体"/>
                <w:kern w:val="0"/>
                <w:szCs w:val="28"/>
              </w:rPr>
            </w:pPr>
          </w:p>
        </w:tc>
        <w:tc>
          <w:tcPr>
            <w:tcW w:w="2103" w:type="pct"/>
            <w:tcBorders>
              <w:top w:val="nil"/>
              <w:left w:val="nil"/>
              <w:bottom w:val="single" w:color="auto" w:sz="4"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w:t>
            </w:r>
            <w:r>
              <w:rPr>
                <w:rFonts w:cs="Times New Roman"/>
                <w:kern w:val="0"/>
                <w:szCs w:val="28"/>
              </w:rPr>
              <w:t>2030</w:t>
            </w:r>
            <w:r>
              <w:rPr>
                <w:rFonts w:hint="eastAsia" w:cs="宋体"/>
                <w:kern w:val="0"/>
                <w:szCs w:val="28"/>
              </w:rPr>
              <w:t>年：</w:t>
            </w:r>
            <w:bookmarkStart w:id="40" w:name="_Hlk100909791"/>
            <w:r>
              <w:rPr>
                <w:rFonts w:hint="eastAsia" w:cs="宋体"/>
                <w:kern w:val="0"/>
                <w:szCs w:val="28"/>
              </w:rPr>
              <w:t>38万亩</w:t>
            </w:r>
            <w:bookmarkEnd w:id="40"/>
          </w:p>
        </w:tc>
        <w:tc>
          <w:tcPr>
            <w:tcW w:w="612" w:type="pct"/>
            <w:vMerge w:val="continue"/>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97" w:hRule="atLeast"/>
          <w:jc w:val="center"/>
        </w:trPr>
        <w:tc>
          <w:tcPr>
            <w:tcW w:w="471" w:type="pct"/>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jc w:val="center"/>
              <w:rPr>
                <w:rFonts w:cs="宋体"/>
                <w:kern w:val="0"/>
                <w:szCs w:val="28"/>
              </w:rPr>
            </w:pPr>
            <w:r>
              <w:rPr>
                <w:rFonts w:hint="eastAsia" w:cs="Times New Roman"/>
                <w:kern w:val="0"/>
                <w:szCs w:val="28"/>
              </w:rPr>
              <w:t>3</w:t>
            </w:r>
          </w:p>
        </w:tc>
        <w:tc>
          <w:tcPr>
            <w:tcW w:w="1815" w:type="pct"/>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新增高效节水灌溉面积</w:t>
            </w:r>
          </w:p>
        </w:tc>
        <w:tc>
          <w:tcPr>
            <w:tcW w:w="2103" w:type="pct"/>
            <w:tcBorders>
              <w:top w:val="nil"/>
              <w:left w:val="nil"/>
              <w:bottom w:val="single" w:color="auto" w:sz="4" w:space="0"/>
              <w:right w:val="single" w:color="000000" w:sz="8" w:space="0"/>
            </w:tcBorders>
            <w:shd w:val="clear" w:color="auto" w:fill="auto"/>
            <w:vAlign w:val="center"/>
          </w:tcPr>
          <w:p>
            <w:pPr>
              <w:widowControl/>
              <w:adjustRightInd/>
              <w:snapToGrid/>
              <w:spacing w:line="240" w:lineRule="auto"/>
              <w:ind w:firstLineChars="150"/>
              <w:rPr>
                <w:rFonts w:cs="宋体"/>
                <w:kern w:val="0"/>
                <w:szCs w:val="28"/>
              </w:rPr>
            </w:pPr>
            <w:r>
              <w:rPr>
                <w:rFonts w:hint="eastAsia" w:cs="宋体"/>
                <w:kern w:val="0"/>
                <w:szCs w:val="28"/>
              </w:rPr>
              <w:t>到2</w:t>
            </w:r>
            <w:r>
              <w:rPr>
                <w:rFonts w:cs="宋体"/>
                <w:kern w:val="0"/>
                <w:szCs w:val="28"/>
              </w:rPr>
              <w:t>025</w:t>
            </w:r>
            <w:r>
              <w:rPr>
                <w:rFonts w:hint="eastAsia" w:cs="宋体"/>
                <w:kern w:val="0"/>
                <w:szCs w:val="28"/>
              </w:rPr>
              <w:t>年：1万亩</w:t>
            </w:r>
          </w:p>
        </w:tc>
        <w:tc>
          <w:tcPr>
            <w:tcW w:w="612" w:type="pct"/>
            <w:tcBorders>
              <w:left w:val="single" w:color="000000" w:sz="8" w:space="0"/>
              <w:bottom w:val="single" w:color="auto" w:sz="4" w:space="0"/>
              <w:right w:val="single" w:color="000000" w:sz="8" w:space="0"/>
            </w:tcBorders>
            <w:vAlign w:val="center"/>
          </w:tcPr>
          <w:p>
            <w:pPr>
              <w:widowControl/>
              <w:adjustRightInd/>
              <w:snapToGrid/>
              <w:spacing w:line="240" w:lineRule="auto"/>
              <w:ind w:firstLine="0" w:firstLineChars="0"/>
              <w:rPr>
                <w:rFonts w:cs="宋体"/>
                <w:kern w:val="0"/>
                <w:szCs w:val="28"/>
              </w:rPr>
            </w:pPr>
            <w:r>
              <w:rPr>
                <w:rFonts w:hint="eastAsia" w:cs="宋体"/>
                <w:kern w:val="0"/>
                <w:szCs w:val="28"/>
              </w:rPr>
              <w:t>预期性</w:t>
            </w:r>
          </w:p>
        </w:tc>
      </w:tr>
      <w:tr>
        <w:tblPrEx>
          <w:tblCellMar>
            <w:top w:w="0" w:type="dxa"/>
            <w:left w:w="108" w:type="dxa"/>
            <w:bottom w:w="0" w:type="dxa"/>
            <w:right w:w="108" w:type="dxa"/>
          </w:tblCellMar>
        </w:tblPrEx>
        <w:trPr>
          <w:trHeight w:val="397" w:hRule="atLeast"/>
          <w:jc w:val="center"/>
        </w:trPr>
        <w:tc>
          <w:tcPr>
            <w:tcW w:w="471" w:type="pct"/>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cs="宋体"/>
                <w:kern w:val="0"/>
                <w:szCs w:val="28"/>
              </w:rPr>
              <w:t>4</w:t>
            </w:r>
          </w:p>
        </w:tc>
        <w:tc>
          <w:tcPr>
            <w:tcW w:w="1815" w:type="pct"/>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新增粮食综合生产能力</w:t>
            </w:r>
          </w:p>
        </w:tc>
        <w:tc>
          <w:tcPr>
            <w:tcW w:w="2103" w:type="pct"/>
            <w:tcBorders>
              <w:top w:val="single" w:color="auto" w:sz="4" w:space="0"/>
              <w:left w:val="nil"/>
              <w:bottom w:val="single" w:color="000000" w:sz="8" w:space="0"/>
              <w:right w:val="single" w:color="000000" w:sz="8" w:space="0"/>
            </w:tcBorders>
            <w:shd w:val="clear" w:color="auto" w:fill="auto"/>
            <w:vAlign w:val="center"/>
          </w:tcPr>
          <w:p>
            <w:pPr>
              <w:widowControl/>
              <w:adjustRightInd/>
              <w:snapToGrid/>
              <w:spacing w:line="240" w:lineRule="auto"/>
              <w:ind w:firstLine="140" w:firstLineChars="50"/>
              <w:rPr>
                <w:rFonts w:cs="宋体"/>
                <w:kern w:val="0"/>
                <w:szCs w:val="28"/>
              </w:rPr>
            </w:pPr>
            <w:r>
              <w:rPr>
                <w:rFonts w:hint="eastAsia" w:cs="宋体"/>
                <w:kern w:val="0"/>
                <w:szCs w:val="28"/>
              </w:rPr>
              <w:t>新增建设高标准农田</w:t>
            </w:r>
          </w:p>
          <w:p>
            <w:pPr>
              <w:widowControl/>
              <w:adjustRightInd/>
              <w:snapToGrid/>
              <w:spacing w:line="240" w:lineRule="auto"/>
              <w:ind w:firstLine="140" w:firstLineChars="50"/>
              <w:rPr>
                <w:rFonts w:cs="宋体"/>
                <w:kern w:val="0"/>
                <w:szCs w:val="28"/>
              </w:rPr>
            </w:pPr>
            <w:r>
              <w:rPr>
                <w:rFonts w:hint="eastAsia" w:cs="宋体"/>
                <w:kern w:val="0"/>
                <w:szCs w:val="28"/>
              </w:rPr>
              <w:t>亩均产能提高</w:t>
            </w:r>
            <w:r>
              <w:rPr>
                <w:rFonts w:cs="宋体"/>
                <w:kern w:val="0"/>
                <w:szCs w:val="28"/>
              </w:rPr>
              <w:t>100</w:t>
            </w:r>
            <w:r>
              <w:rPr>
                <w:rFonts w:hint="eastAsia" w:cs="Times New Roman"/>
                <w:kern w:val="0"/>
                <w:szCs w:val="28"/>
              </w:rPr>
              <w:t>-</w:t>
            </w:r>
            <w:r>
              <w:rPr>
                <w:rFonts w:cs="Times New Roman"/>
                <w:kern w:val="0"/>
                <w:szCs w:val="28"/>
              </w:rPr>
              <w:t>120</w:t>
            </w:r>
            <w:r>
              <w:rPr>
                <w:rFonts w:hint="eastAsia" w:cs="Times New Roman"/>
                <w:kern w:val="0"/>
                <w:szCs w:val="28"/>
              </w:rPr>
              <w:t>公斤</w:t>
            </w:r>
          </w:p>
        </w:tc>
        <w:tc>
          <w:tcPr>
            <w:tcW w:w="612" w:type="pct"/>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预期性</w:t>
            </w:r>
          </w:p>
        </w:tc>
      </w:tr>
      <w:tr>
        <w:tblPrEx>
          <w:tblCellMar>
            <w:top w:w="0" w:type="dxa"/>
            <w:left w:w="108" w:type="dxa"/>
            <w:bottom w:w="0" w:type="dxa"/>
            <w:right w:w="108" w:type="dxa"/>
          </w:tblCellMar>
        </w:tblPrEx>
        <w:trPr>
          <w:trHeight w:val="397" w:hRule="atLeast"/>
          <w:jc w:val="center"/>
        </w:trPr>
        <w:tc>
          <w:tcPr>
            <w:tcW w:w="471"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rPr>
                <w:rFonts w:cs="Times New Roman"/>
                <w:kern w:val="0"/>
                <w:szCs w:val="28"/>
              </w:rPr>
            </w:pPr>
          </w:p>
        </w:tc>
        <w:tc>
          <w:tcPr>
            <w:tcW w:w="1815"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jc w:val="center"/>
              <w:rPr>
                <w:rFonts w:cs="宋体"/>
                <w:kern w:val="0"/>
                <w:szCs w:val="28"/>
              </w:rPr>
            </w:pP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140" w:firstLineChars="50"/>
              <w:rPr>
                <w:rFonts w:cs="宋体"/>
                <w:kern w:val="0"/>
                <w:szCs w:val="28"/>
              </w:rPr>
            </w:pPr>
            <w:r>
              <w:rPr>
                <w:rFonts w:hint="eastAsia" w:cs="宋体"/>
                <w:kern w:val="0"/>
                <w:szCs w:val="28"/>
              </w:rPr>
              <w:t>改造提升高标准农田</w:t>
            </w:r>
          </w:p>
          <w:p>
            <w:pPr>
              <w:widowControl/>
              <w:adjustRightInd/>
              <w:snapToGrid/>
              <w:spacing w:line="240" w:lineRule="auto"/>
              <w:ind w:firstLine="140" w:firstLineChars="50"/>
              <w:rPr>
                <w:rFonts w:cs="宋体"/>
                <w:kern w:val="0"/>
                <w:szCs w:val="28"/>
              </w:rPr>
            </w:pPr>
            <w:r>
              <w:rPr>
                <w:rFonts w:hint="eastAsia" w:cs="宋体"/>
                <w:kern w:val="0"/>
                <w:szCs w:val="28"/>
              </w:rPr>
              <w:t>亩均产能提高</w:t>
            </w:r>
            <w:r>
              <w:rPr>
                <w:rFonts w:cs="Times New Roman"/>
                <w:kern w:val="0"/>
                <w:szCs w:val="28"/>
              </w:rPr>
              <w:t>60</w:t>
            </w:r>
            <w:r>
              <w:rPr>
                <w:rFonts w:hint="eastAsia" w:cs="Times New Roman"/>
                <w:kern w:val="0"/>
                <w:szCs w:val="28"/>
              </w:rPr>
              <w:t>-</w:t>
            </w:r>
            <w:r>
              <w:rPr>
                <w:rFonts w:cs="Times New Roman"/>
                <w:kern w:val="0"/>
                <w:szCs w:val="28"/>
              </w:rPr>
              <w:t>80</w:t>
            </w:r>
            <w:r>
              <w:rPr>
                <w:rFonts w:hint="eastAsia" w:cs="Times New Roman"/>
                <w:kern w:val="0"/>
                <w:szCs w:val="28"/>
              </w:rPr>
              <w:t>公斤</w:t>
            </w:r>
          </w:p>
        </w:tc>
        <w:tc>
          <w:tcPr>
            <w:tcW w:w="612" w:type="pct"/>
            <w:vMerge w:val="continue"/>
            <w:tcBorders>
              <w:top w:val="nil"/>
              <w:left w:val="single" w:color="000000" w:sz="8" w:space="0"/>
              <w:bottom w:val="single" w:color="000000" w:sz="8" w:space="0"/>
              <w:right w:val="single" w:color="000000" w:sz="8"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97" w:hRule="atLeast"/>
          <w:jc w:val="center"/>
        </w:trPr>
        <w:tc>
          <w:tcPr>
            <w:tcW w:w="471" w:type="pct"/>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5</w:t>
            </w:r>
          </w:p>
        </w:tc>
        <w:tc>
          <w:tcPr>
            <w:tcW w:w="1815"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szCs w:val="32"/>
              </w:rPr>
              <w:t>新增建设高标准农田亩均节水目标</w:t>
            </w: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10</w:t>
            </w:r>
            <w:r>
              <w:rPr>
                <w:rFonts w:hint="eastAsia" w:cs="Times New Roman"/>
                <w:kern w:val="0"/>
                <w:szCs w:val="28"/>
              </w:rPr>
              <w:t>%以上</w:t>
            </w:r>
          </w:p>
        </w:tc>
        <w:tc>
          <w:tcPr>
            <w:tcW w:w="612"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预期性</w:t>
            </w:r>
          </w:p>
        </w:tc>
      </w:tr>
      <w:tr>
        <w:tblPrEx>
          <w:tblCellMar>
            <w:top w:w="0" w:type="dxa"/>
            <w:left w:w="108" w:type="dxa"/>
            <w:bottom w:w="0" w:type="dxa"/>
            <w:right w:w="108" w:type="dxa"/>
          </w:tblCellMar>
        </w:tblPrEx>
        <w:trPr>
          <w:trHeight w:val="397" w:hRule="atLeast"/>
          <w:jc w:val="center"/>
        </w:trPr>
        <w:tc>
          <w:tcPr>
            <w:tcW w:w="471" w:type="pct"/>
            <w:tcBorders>
              <w:top w:val="nil"/>
              <w:left w:val="single" w:color="000000" w:sz="8" w:space="0"/>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6</w:t>
            </w:r>
          </w:p>
        </w:tc>
        <w:tc>
          <w:tcPr>
            <w:tcW w:w="1815"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建成高标准农田上图入库覆盖率</w:t>
            </w:r>
          </w:p>
        </w:tc>
        <w:tc>
          <w:tcPr>
            <w:tcW w:w="2103"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100%</w:t>
            </w:r>
          </w:p>
        </w:tc>
        <w:tc>
          <w:tcPr>
            <w:tcW w:w="612" w:type="pct"/>
            <w:tcBorders>
              <w:top w:val="nil"/>
              <w:left w:val="nil"/>
              <w:bottom w:val="single" w:color="000000" w:sz="8" w:space="0"/>
              <w:right w:val="single" w:color="000000" w:sz="8" w:space="0"/>
            </w:tcBorders>
            <w:shd w:val="clear" w:color="auto" w:fill="auto"/>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预期性</w:t>
            </w:r>
          </w:p>
        </w:tc>
      </w:tr>
    </w:tbl>
    <w:p>
      <w:pPr>
        <w:overflowPunct w:val="0"/>
        <w:topLinePunct/>
        <w:spacing w:line="600" w:lineRule="exact"/>
        <w:ind w:firstLine="640"/>
        <w:jc w:val="both"/>
        <w:rPr>
          <w:rFonts w:cs="宋体"/>
          <w:bCs/>
          <w:kern w:val="0"/>
          <w:sz w:val="32"/>
          <w:szCs w:val="32"/>
          <w:lang w:bidi="ar"/>
        </w:rPr>
      </w:pPr>
      <w:r>
        <w:rPr>
          <w:rFonts w:hint="eastAsia" w:cs="宋体"/>
          <w:bCs/>
          <w:kern w:val="0"/>
          <w:sz w:val="32"/>
          <w:szCs w:val="32"/>
          <w:lang w:bidi="ar"/>
        </w:rPr>
        <w:t>高标准农田建设主要涉及田、土、水、路、林、电、技、管8方面目标。</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1、田。</w:t>
      </w:r>
      <w:r>
        <w:rPr>
          <w:rFonts w:hint="eastAsia" w:cs="宋体"/>
          <w:bCs/>
          <w:kern w:val="0"/>
          <w:sz w:val="32"/>
          <w:szCs w:val="32"/>
          <w:lang w:bidi="ar"/>
        </w:rPr>
        <w:t>通过合理归并和平整土地、坡耕地田坎修筑，实现田块规模适度、集中连片、田面平整，耕作层厚度适宜。</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2、土。</w:t>
      </w:r>
      <w:r>
        <w:rPr>
          <w:rFonts w:hint="eastAsia" w:cs="宋体"/>
          <w:bCs/>
          <w:kern w:val="0"/>
          <w:sz w:val="32"/>
          <w:szCs w:val="32"/>
          <w:lang w:bidi="ar"/>
        </w:rPr>
        <w:t>通过培肥改良，实现土壤通透性能好、保水保肥能力强、酸碱平衡、有机质和营养元素丰富，着力提高耕地内在质量和产出能力。</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3、水。</w:t>
      </w:r>
      <w:r>
        <w:rPr>
          <w:rFonts w:hint="eastAsia" w:cs="宋体"/>
          <w:bCs/>
          <w:kern w:val="0"/>
          <w:sz w:val="32"/>
          <w:szCs w:val="32"/>
          <w:lang w:bidi="ar"/>
        </w:rPr>
        <w:t>通过加强田间灌排设施建设和推进高效节水灌溉等，增加有效灌溉面积，提高灌溉保证率、用水效率和农田防洪排涝标准，实现旱涝保收。</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4、路。</w:t>
      </w:r>
      <w:r>
        <w:rPr>
          <w:rFonts w:hint="eastAsia" w:cs="宋体"/>
          <w:bCs/>
          <w:kern w:val="0"/>
          <w:sz w:val="32"/>
          <w:szCs w:val="32"/>
          <w:lang w:bidi="ar"/>
        </w:rPr>
        <w:t>通过田间路（机耕路）和生产路建设、桥涵配套，合理增加路面宽度，提高道路的荷载标准和通达度，满足农机作业、生产物流要求。</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5、林。</w:t>
      </w:r>
      <w:r>
        <w:rPr>
          <w:rFonts w:hint="eastAsia" w:cs="宋体"/>
          <w:bCs/>
          <w:kern w:val="0"/>
          <w:sz w:val="32"/>
          <w:szCs w:val="32"/>
          <w:lang w:bidi="ar"/>
        </w:rPr>
        <w:t>通过农田林网、岸坡防护、沟道治理等农田防护和生态环境保护工程建设，改善农田生态环境，提高农田防御风沙灾害和防止水土流失能力。</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6、电。</w:t>
      </w:r>
      <w:r>
        <w:rPr>
          <w:rFonts w:hint="eastAsia" w:cs="宋体"/>
          <w:bCs/>
          <w:kern w:val="0"/>
          <w:sz w:val="32"/>
          <w:szCs w:val="32"/>
          <w:lang w:bidi="ar"/>
        </w:rPr>
        <w:t>通过完善农田电网、配套相应的输配电设施，满足农田设施用电需求，降低农业生产成本，提高农业生产的效率和效益。</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7、技。</w:t>
      </w:r>
      <w:r>
        <w:rPr>
          <w:rFonts w:hint="eastAsia" w:cs="宋体"/>
          <w:bCs/>
          <w:kern w:val="0"/>
          <w:sz w:val="32"/>
          <w:szCs w:val="32"/>
          <w:lang w:bidi="ar"/>
        </w:rPr>
        <w:t>通过工程措施与农艺技术相结合，推广数字农业、良种良法、病虫害绿色防控、节水节肥减药等技术，提高农田可持续利用水平和综合生产能力。</w:t>
      </w:r>
    </w:p>
    <w:p>
      <w:pPr>
        <w:overflowPunct w:val="0"/>
        <w:topLinePunct/>
        <w:spacing w:line="600" w:lineRule="exact"/>
        <w:ind w:firstLine="643"/>
        <w:jc w:val="both"/>
        <w:rPr>
          <w:rFonts w:cs="宋体"/>
          <w:bCs/>
          <w:kern w:val="0"/>
          <w:sz w:val="32"/>
          <w:szCs w:val="32"/>
          <w:lang w:bidi="ar"/>
        </w:rPr>
      </w:pPr>
      <w:r>
        <w:rPr>
          <w:rFonts w:hint="eastAsia" w:cs="宋体"/>
          <w:b/>
          <w:bCs/>
          <w:kern w:val="0"/>
          <w:sz w:val="32"/>
          <w:szCs w:val="32"/>
          <w:lang w:bidi="ar"/>
        </w:rPr>
        <w:t>8、管。</w:t>
      </w:r>
      <w:r>
        <w:rPr>
          <w:rFonts w:hint="eastAsia" w:cs="宋体"/>
          <w:bCs/>
          <w:kern w:val="0"/>
          <w:sz w:val="32"/>
          <w:szCs w:val="32"/>
          <w:lang w:bidi="ar"/>
        </w:rPr>
        <w:t>通过上图入库和全程管理，落实建后管护主体和责任、管护资金，完善管护机制，确保建成的工程设施在设计使用年限内正常运行、高标准农田用途不改变、质量有提高。</w:t>
      </w:r>
    </w:p>
    <w:p>
      <w:pPr>
        <w:widowControl/>
        <w:adjustRightInd/>
        <w:snapToGrid/>
        <w:spacing w:line="240" w:lineRule="auto"/>
        <w:ind w:firstLine="0" w:firstLineChars="0"/>
      </w:pPr>
      <w:r>
        <w:br w:type="page"/>
      </w:r>
    </w:p>
    <w:p>
      <w:pPr>
        <w:pStyle w:val="3"/>
        <w:rPr>
          <w:rFonts w:ascii="Times New Roman"/>
        </w:rPr>
      </w:pPr>
      <w:bookmarkStart w:id="41" w:name="_Toc114850783"/>
      <w:r>
        <w:rPr>
          <w:rFonts w:ascii="Times New Roman"/>
        </w:rPr>
        <w:t>建设标准及主要建设内容</w:t>
      </w:r>
      <w:bookmarkEnd w:id="41"/>
    </w:p>
    <w:p>
      <w:pPr>
        <w:overflowPunct w:val="0"/>
        <w:topLinePunct/>
        <w:spacing w:line="600" w:lineRule="exact"/>
        <w:ind w:firstLine="640"/>
        <w:jc w:val="both"/>
        <w:rPr>
          <w:sz w:val="32"/>
          <w:szCs w:val="32"/>
        </w:rPr>
      </w:pPr>
      <w:r>
        <w:rPr>
          <w:rFonts w:hint="eastAsia"/>
          <w:sz w:val="32"/>
          <w:szCs w:val="32"/>
        </w:rPr>
        <w:t>九台区建设内容主要涉及田块整治、土壤改良、灌溉及排水、田间道路、农田防护与生态环境保护、农田输配电、科技服务及管护利用八个方面。</w:t>
      </w:r>
      <w:r>
        <w:rPr>
          <w:sz w:val="32"/>
          <w:szCs w:val="32"/>
        </w:rPr>
        <w:t>根据</w:t>
      </w:r>
      <w:r>
        <w:rPr>
          <w:rFonts w:hint="eastAsia"/>
          <w:sz w:val="32"/>
          <w:szCs w:val="32"/>
        </w:rPr>
        <w:t>九台区</w:t>
      </w:r>
      <w:r>
        <w:rPr>
          <w:sz w:val="32"/>
          <w:szCs w:val="32"/>
        </w:rPr>
        <w:t>自然资源特点、社会经济发展水平、土地利用现状，制定</w:t>
      </w:r>
      <w:r>
        <w:rPr>
          <w:rFonts w:hint="eastAsia"/>
          <w:sz w:val="32"/>
          <w:szCs w:val="32"/>
        </w:rPr>
        <w:t>高标准</w:t>
      </w:r>
      <w:r>
        <w:rPr>
          <w:sz w:val="32"/>
          <w:szCs w:val="32"/>
        </w:rPr>
        <w:t>农田建设标准</w:t>
      </w:r>
      <w:r>
        <w:rPr>
          <w:rFonts w:hint="eastAsia"/>
          <w:sz w:val="32"/>
          <w:szCs w:val="32"/>
        </w:rPr>
        <w:t>，</w:t>
      </w:r>
      <w:r>
        <w:rPr>
          <w:sz w:val="32"/>
          <w:szCs w:val="32"/>
        </w:rPr>
        <w:t>健全耕地质量监测评价标准</w:t>
      </w:r>
      <w:r>
        <w:rPr>
          <w:rFonts w:hint="eastAsia"/>
          <w:sz w:val="32"/>
          <w:szCs w:val="32"/>
        </w:rPr>
        <w:t>，同时针对不同</w:t>
      </w:r>
      <w:r>
        <w:rPr>
          <w:sz w:val="32"/>
          <w:szCs w:val="32"/>
        </w:rPr>
        <w:t>区域适时调整建设</w:t>
      </w:r>
      <w:r>
        <w:rPr>
          <w:rFonts w:hint="eastAsia"/>
          <w:sz w:val="32"/>
          <w:szCs w:val="32"/>
        </w:rPr>
        <w:t>重点</w:t>
      </w:r>
      <w:r>
        <w:rPr>
          <w:sz w:val="32"/>
          <w:szCs w:val="32"/>
        </w:rPr>
        <w:t>内容。</w:t>
      </w:r>
    </w:p>
    <w:p>
      <w:pPr>
        <w:pStyle w:val="4"/>
      </w:pPr>
      <w:bookmarkStart w:id="42" w:name="_Toc101043901"/>
      <w:bookmarkStart w:id="43" w:name="_Toc114850784"/>
      <w:bookmarkStart w:id="44" w:name="_Toc28375"/>
      <w:r>
        <w:t>田块整治</w:t>
      </w:r>
      <w:bookmarkEnd w:id="42"/>
      <w:bookmarkEnd w:id="43"/>
      <w:bookmarkEnd w:id="44"/>
    </w:p>
    <w:p>
      <w:pPr>
        <w:overflowPunct w:val="0"/>
        <w:topLinePunct/>
        <w:spacing w:line="600" w:lineRule="exact"/>
        <w:ind w:firstLine="640"/>
        <w:jc w:val="both"/>
        <w:rPr>
          <w:sz w:val="32"/>
          <w:szCs w:val="32"/>
        </w:rPr>
      </w:pPr>
      <w:r>
        <w:rPr>
          <w:sz w:val="32"/>
          <w:szCs w:val="32"/>
        </w:rPr>
        <w:t>根据</w:t>
      </w:r>
      <w:r>
        <w:rPr>
          <w:rFonts w:hint="eastAsia"/>
          <w:sz w:val="32"/>
          <w:szCs w:val="32"/>
        </w:rPr>
        <w:t>九台区</w:t>
      </w:r>
      <w:r>
        <w:rPr>
          <w:sz w:val="32"/>
          <w:szCs w:val="32"/>
        </w:rPr>
        <w:t>不同区域地形地貌，充分考虑水</w:t>
      </w:r>
      <w:r>
        <w:rPr>
          <w:rFonts w:hint="eastAsia"/>
          <w:sz w:val="32"/>
          <w:szCs w:val="32"/>
        </w:rPr>
        <w:t>、</w:t>
      </w:r>
      <w:r>
        <w:rPr>
          <w:sz w:val="32"/>
          <w:szCs w:val="32"/>
        </w:rPr>
        <w:t>土</w:t>
      </w:r>
      <w:r>
        <w:rPr>
          <w:rFonts w:hint="eastAsia"/>
          <w:sz w:val="32"/>
          <w:szCs w:val="32"/>
        </w:rPr>
        <w:t>、</w:t>
      </w:r>
      <w:r>
        <w:rPr>
          <w:sz w:val="32"/>
          <w:szCs w:val="32"/>
        </w:rPr>
        <w:t>光</w:t>
      </w:r>
      <w:r>
        <w:rPr>
          <w:rFonts w:hint="eastAsia"/>
          <w:sz w:val="32"/>
          <w:szCs w:val="32"/>
        </w:rPr>
        <w:t>、</w:t>
      </w:r>
      <w:r>
        <w:rPr>
          <w:sz w:val="32"/>
          <w:szCs w:val="32"/>
        </w:rPr>
        <w:t>热</w:t>
      </w:r>
      <w:r>
        <w:rPr>
          <w:rFonts w:hint="eastAsia"/>
          <w:sz w:val="32"/>
          <w:szCs w:val="32"/>
        </w:rPr>
        <w:t>、</w:t>
      </w:r>
      <w:r>
        <w:rPr>
          <w:sz w:val="32"/>
          <w:szCs w:val="32"/>
        </w:rPr>
        <w:t>资源环境条件等因素，进一步优化高标准农田空间布局</w:t>
      </w:r>
      <w:r>
        <w:rPr>
          <w:rFonts w:hint="eastAsia"/>
          <w:sz w:val="32"/>
          <w:szCs w:val="32"/>
        </w:rPr>
        <w:t>，根据九台区不同区域地形地貌，确定高标准农田建设单元，原则上丘陵山区面积不低于1000亩、平原区面积不低于3000亩</w:t>
      </w:r>
      <w:r>
        <w:rPr>
          <w:sz w:val="32"/>
          <w:szCs w:val="32"/>
        </w:rPr>
        <w:t>。根据作物种类、机械作业和灌溉排水效率等因素，</w:t>
      </w:r>
      <w:r>
        <w:rPr>
          <w:rFonts w:hint="eastAsia"/>
          <w:sz w:val="32"/>
          <w:szCs w:val="32"/>
        </w:rPr>
        <w:t>在上河湾镇、城子街街道、沐石河街道、苇子沟街道、土门岭街道、波泥河街道等坡耕地地块，</w:t>
      </w:r>
      <w:r>
        <w:rPr>
          <w:sz w:val="32"/>
          <w:szCs w:val="32"/>
        </w:rPr>
        <w:t>合理调整农田地表坡降，</w:t>
      </w:r>
      <w:r>
        <w:rPr>
          <w:rFonts w:hint="eastAsia"/>
          <w:sz w:val="32"/>
          <w:szCs w:val="32"/>
        </w:rPr>
        <w:t>改顺垄地为横垄地，</w:t>
      </w:r>
      <w:r>
        <w:rPr>
          <w:sz w:val="32"/>
          <w:szCs w:val="32"/>
        </w:rPr>
        <w:t>改善农田耕作层，提高灌溉排水适宜性。</w:t>
      </w:r>
      <w:r>
        <w:rPr>
          <w:rFonts w:hint="eastAsia"/>
          <w:sz w:val="32"/>
          <w:szCs w:val="32"/>
        </w:rPr>
        <w:t>在饮马河流域的兴隆街道、苇子沟街道、龙家堡街道、九郊街道与松花江流域的上河湾镇、其塔木镇、莽卡满族乡等水田区，</w:t>
      </w:r>
      <w:r>
        <w:rPr>
          <w:sz w:val="32"/>
          <w:szCs w:val="32"/>
        </w:rPr>
        <w:t>合理划分和适度归并田块，确定田块的适宜耕作长度与宽度</w:t>
      </w:r>
      <w:r>
        <w:rPr>
          <w:rFonts w:hint="eastAsia"/>
          <w:sz w:val="32"/>
          <w:szCs w:val="32"/>
        </w:rPr>
        <w:t>，</w:t>
      </w:r>
      <w:r>
        <w:rPr>
          <w:sz w:val="32"/>
          <w:szCs w:val="32"/>
        </w:rPr>
        <w:t>通过客土填充、剥离回填表土层等措施平整土地，改善农田耕作层，提高灌溉排水适宜性。</w:t>
      </w:r>
      <w:r>
        <w:rPr>
          <w:rFonts w:hint="eastAsia"/>
          <w:sz w:val="32"/>
          <w:szCs w:val="32"/>
        </w:rPr>
        <w:t>对于＞25°的坡耕地应当退耕还林、还草；对于其他坡耕地要科学规划，采取等高起垄、增加林草（防护林）面积、修筑阶梯排水蓄水沟和塘坝等水土保持措施。</w:t>
      </w:r>
      <w:r>
        <w:rPr>
          <w:sz w:val="32"/>
          <w:szCs w:val="32"/>
        </w:rPr>
        <w:t>建成后</w:t>
      </w:r>
      <w:r>
        <w:rPr>
          <w:rFonts w:hint="eastAsia"/>
          <w:sz w:val="32"/>
          <w:szCs w:val="32"/>
        </w:rPr>
        <w:t>，平原区水浇地和</w:t>
      </w:r>
      <w:r>
        <w:rPr>
          <w:sz w:val="32"/>
          <w:szCs w:val="32"/>
        </w:rPr>
        <w:t>旱地耕作层厚度</w:t>
      </w:r>
      <w:r>
        <w:rPr>
          <w:rFonts w:hint="eastAsia"/>
          <w:sz w:val="32"/>
          <w:szCs w:val="32"/>
        </w:rPr>
        <w:t>不低于</w:t>
      </w:r>
      <w:r>
        <w:rPr>
          <w:sz w:val="32"/>
          <w:szCs w:val="32"/>
        </w:rPr>
        <w:t>25cm</w:t>
      </w:r>
      <w:r>
        <w:rPr>
          <w:rFonts w:hint="eastAsia"/>
          <w:sz w:val="32"/>
          <w:szCs w:val="32"/>
        </w:rPr>
        <w:t>，水田耕作层厚度不低于</w:t>
      </w:r>
      <w:r>
        <w:rPr>
          <w:sz w:val="32"/>
          <w:szCs w:val="32"/>
        </w:rPr>
        <w:t>20cm。</w:t>
      </w:r>
    </w:p>
    <w:p>
      <w:pPr>
        <w:pStyle w:val="4"/>
      </w:pPr>
      <w:bookmarkStart w:id="45" w:name="_Toc101043902"/>
      <w:bookmarkStart w:id="46" w:name="_Toc114850785"/>
      <w:bookmarkStart w:id="47" w:name="_Toc30271"/>
      <w:r>
        <w:t>土壤改良</w:t>
      </w:r>
      <w:bookmarkEnd w:id="45"/>
      <w:bookmarkEnd w:id="46"/>
      <w:bookmarkEnd w:id="47"/>
    </w:p>
    <w:p>
      <w:pPr>
        <w:overflowPunct w:val="0"/>
        <w:topLinePunct/>
        <w:spacing w:line="600" w:lineRule="exact"/>
        <w:ind w:firstLine="640"/>
        <w:jc w:val="both"/>
        <w:rPr>
          <w:sz w:val="32"/>
          <w:szCs w:val="32"/>
        </w:rPr>
      </w:pPr>
      <w:r>
        <w:rPr>
          <w:sz w:val="32"/>
          <w:szCs w:val="32"/>
        </w:rPr>
        <w:t>通过工程、生物、化学</w:t>
      </w:r>
      <w:r>
        <w:rPr>
          <w:rFonts w:hint="eastAsia"/>
          <w:sz w:val="32"/>
          <w:szCs w:val="32"/>
        </w:rPr>
        <w:t>、农艺</w:t>
      </w:r>
      <w:r>
        <w:rPr>
          <w:sz w:val="32"/>
          <w:szCs w:val="32"/>
        </w:rPr>
        <w:t>等方法，提高耕地质量水平。采取深耕深松、秸秆还田、增施有机肥、</w:t>
      </w:r>
      <w:r>
        <w:rPr>
          <w:rFonts w:hint="eastAsia"/>
          <w:sz w:val="32"/>
          <w:szCs w:val="32"/>
        </w:rPr>
        <w:t>测土配方施肥</w:t>
      </w:r>
      <w:r>
        <w:rPr>
          <w:sz w:val="32"/>
          <w:szCs w:val="32"/>
        </w:rPr>
        <w:t>等方式，增加土壤有机质，治理退化耕地，改良土壤结构，提升土壤肥力。实施测土配方施肥，促进土壤养分平衡。</w:t>
      </w:r>
      <w:r>
        <w:rPr>
          <w:rFonts w:hint="eastAsia"/>
          <w:sz w:val="32"/>
          <w:szCs w:val="32"/>
        </w:rPr>
        <w:t>建成后，土壤有机质含量提高1g/kg以上、耕地质量等级提高0.</w:t>
      </w:r>
      <w:r>
        <w:rPr>
          <w:sz w:val="32"/>
          <w:szCs w:val="32"/>
        </w:rPr>
        <w:t>2</w:t>
      </w:r>
      <w:r>
        <w:rPr>
          <w:rFonts w:hint="eastAsia"/>
          <w:sz w:val="32"/>
          <w:szCs w:val="32"/>
        </w:rPr>
        <w:t>等以上，土壤的容重、阳离子交换量、有效磷、速效钾、微生物碳量等其他物理、化学、生物指标达到当地自然条件和种植水平下的中上等水平。</w:t>
      </w:r>
    </w:p>
    <w:p>
      <w:pPr>
        <w:pStyle w:val="2"/>
        <w:spacing w:after="0" w:line="600" w:lineRule="exact"/>
        <w:ind w:left="0" w:leftChars="0" w:firstLine="0" w:firstLineChars="0"/>
        <w:jc w:val="center"/>
        <w:rPr>
          <w:b/>
        </w:rPr>
      </w:pPr>
      <w:r>
        <w:rPr>
          <w:rFonts w:hint="eastAsia"/>
          <w:b/>
        </w:rPr>
        <w:t>专栏</w:t>
      </w:r>
      <w:r>
        <w:rPr>
          <w:b/>
        </w:rPr>
        <w:t>1</w:t>
      </w:r>
      <w:r>
        <w:rPr>
          <w:rFonts w:hint="eastAsia"/>
          <w:b/>
        </w:rPr>
        <w:t xml:space="preserve">   黑土地</w:t>
      </w:r>
      <w:r>
        <w:rPr>
          <w:b/>
        </w:rPr>
        <w:t>保护利用工程</w:t>
      </w:r>
    </w:p>
    <w:tbl>
      <w:tblPr>
        <w:tblStyle w:val="29"/>
        <w:tblW w:w="9199" w:type="dxa"/>
        <w:tblInd w:w="0" w:type="dxa"/>
        <w:tblLayout w:type="fixed"/>
        <w:tblCellMar>
          <w:top w:w="0" w:type="dxa"/>
          <w:left w:w="108" w:type="dxa"/>
          <w:bottom w:w="0" w:type="dxa"/>
          <w:right w:w="108" w:type="dxa"/>
        </w:tblCellMar>
      </w:tblPr>
      <w:tblGrid>
        <w:gridCol w:w="9199"/>
      </w:tblGrid>
      <w:tr>
        <w:trPr>
          <w:trHeight w:val="1339" w:hRule="atLeast"/>
        </w:trPr>
        <w:tc>
          <w:tcPr>
            <w:tcW w:w="9199" w:type="dxa"/>
            <w:tcBorders>
              <w:top w:val="single" w:color="000000" w:sz="4" w:space="0"/>
              <w:left w:val="single" w:color="000000" w:sz="4" w:space="0"/>
              <w:bottom w:val="single" w:color="000000" w:sz="4" w:space="0"/>
              <w:right w:val="single" w:color="000000" w:sz="4" w:space="0"/>
            </w:tcBorders>
            <w:shd w:val="clear" w:color="auto" w:fill="auto"/>
            <w:vAlign w:val="center"/>
          </w:tcPr>
          <w:p>
            <w:pPr>
              <w:overflowPunct w:val="0"/>
              <w:topLinePunct/>
              <w:spacing w:line="600" w:lineRule="exact"/>
              <w:ind w:firstLine="560"/>
              <w:jc w:val="both"/>
            </w:pPr>
            <w:r>
              <w:rPr>
                <w:rFonts w:hint="eastAsia"/>
                <w:szCs w:val="32"/>
              </w:rPr>
              <w:t>九台区黑土地</w:t>
            </w:r>
            <w:r>
              <w:rPr>
                <w:szCs w:val="32"/>
              </w:rPr>
              <w:t>属于</w:t>
            </w:r>
            <w:r>
              <w:rPr>
                <w:rFonts w:hint="eastAsia"/>
                <w:szCs w:val="32"/>
              </w:rPr>
              <w:t>典型</w:t>
            </w:r>
            <w:r>
              <w:rPr>
                <w:szCs w:val="32"/>
              </w:rPr>
              <w:t>黑土地保护区内，通过增施有机肥、秸秆还田、加强坡耕地与风蚀沙化土地综合防护与治理，推广节水技术，开展保护性耕作技术创新与集成示范，推行粮豆轮作，推进农牧结合等措施，加快保护修复黑土地生态环境，</w:t>
            </w:r>
            <w:r>
              <w:rPr>
                <w:rFonts w:hint="eastAsia"/>
                <w:szCs w:val="32"/>
              </w:rPr>
              <w:t>积极</w:t>
            </w:r>
            <w:r>
              <w:rPr>
                <w:szCs w:val="32"/>
              </w:rPr>
              <w:t>落实黑土地保护面积。</w:t>
            </w:r>
          </w:p>
        </w:tc>
      </w:tr>
    </w:tbl>
    <w:p>
      <w:pPr>
        <w:pStyle w:val="4"/>
      </w:pPr>
      <w:bookmarkStart w:id="48" w:name="_Toc114850786"/>
      <w:bookmarkStart w:id="49" w:name="_Toc101043903"/>
      <w:bookmarkStart w:id="50" w:name="_Toc26349"/>
      <w:r>
        <w:t>灌溉和排水</w:t>
      </w:r>
      <w:bookmarkEnd w:id="48"/>
      <w:bookmarkEnd w:id="49"/>
      <w:bookmarkEnd w:id="50"/>
    </w:p>
    <w:p>
      <w:pPr>
        <w:overflowPunct w:val="0"/>
        <w:topLinePunct/>
        <w:spacing w:line="600" w:lineRule="exact"/>
        <w:ind w:firstLine="640"/>
        <w:jc w:val="both"/>
        <w:rPr>
          <w:sz w:val="32"/>
          <w:szCs w:val="32"/>
        </w:rPr>
      </w:pPr>
      <w:r>
        <w:rPr>
          <w:sz w:val="32"/>
          <w:szCs w:val="32"/>
        </w:rPr>
        <w:t>科学规划建设田间灌排工程。因地制宜配套小型水源工程，加强雨水和地表水收集利用。按照灌溉与排水并重要求，合理配套建设和改造输配水渠（管）道、排水沟（管）道、泵站及渠系建筑物，完善田间灌溉排水设施。因地制宜</w:t>
      </w:r>
      <w:r>
        <w:rPr>
          <w:rFonts w:hint="eastAsia"/>
          <w:sz w:val="32"/>
          <w:szCs w:val="32"/>
        </w:rPr>
        <w:t>在饮马河流域的兴隆街道、苇子沟街道、龙家堡街道、九郊街道与松花江流域的上河湾镇、其塔木镇、莽卡满族乡等水田区，</w:t>
      </w:r>
      <w:r>
        <w:rPr>
          <w:sz w:val="32"/>
          <w:szCs w:val="32"/>
        </w:rPr>
        <w:t>推广渠道防渗、管道输水灌溉</w:t>
      </w:r>
      <w:r>
        <w:rPr>
          <w:rFonts w:hint="eastAsia"/>
          <w:sz w:val="32"/>
          <w:szCs w:val="32"/>
        </w:rPr>
        <w:t>；在上河湾镇、城子街街道、沐石河街道、苇子沟街道、土门岭街道、波泥河街道、胡家回族乡、纪家街道、卡伦街道、东湖街道等旱田区，实施</w:t>
      </w:r>
      <w:r>
        <w:rPr>
          <w:sz w:val="32"/>
          <w:szCs w:val="32"/>
        </w:rPr>
        <w:t>喷微灌等节水措施，提高农业灌溉保证率。倡导建设生态型灌排系统，保护农田生态环境。建成后，田间灌排系统完善、工程配套、利用充分，输、配、灌、排水及时高效，灌溉水利用效率和水分产出率明显提高。</w:t>
      </w:r>
      <w:r>
        <w:rPr>
          <w:rFonts w:hint="eastAsia"/>
          <w:sz w:val="32"/>
          <w:szCs w:val="32"/>
        </w:rPr>
        <w:t>旱地灌溉保证率不低于70%，水田灌溉保证率不低于75%-80%。农业灌溉用水定额应符合《吉林省行业用水定额标准》（DB22/T389-2019）的规定。灌溉水源水质应符合《农田灌溉水质标准》（GB5084-2021）的规定。灌溉排水应符合《灌溉与排水工程设计标准》（GB50288-2018）及《节水灌溉工程技术标准》（GB/T50363-2018）的规定。渠系水利用系数：井灌区采用渠道防渗时渠道水利用系数不应低于0.9；管道输水时，管道水利用系数不应低于0.95；灌溉水利用系数：井灌区的灌溉水利用系数不应低于0.80，喷灌、微灌不应低于0.85，滴灌不应低于0.90。田间水利用系数：水稻区不低于0.95，旱作物区不低于0.90。旱作区农田排水设计暴雨重现期采用标准达到5</w:t>
      </w:r>
      <w:r>
        <w:rPr>
          <w:sz w:val="32"/>
          <w:szCs w:val="32"/>
        </w:rPr>
        <w:t>-</w:t>
      </w:r>
      <w:r>
        <w:rPr>
          <w:rFonts w:hint="eastAsia"/>
          <w:sz w:val="32"/>
          <w:szCs w:val="32"/>
        </w:rPr>
        <w:t>10年一遇，一日（1d）暴雨从作物受淹起两日（</w:t>
      </w:r>
      <w:r>
        <w:rPr>
          <w:sz w:val="32"/>
          <w:szCs w:val="32"/>
        </w:rPr>
        <w:t>2</w:t>
      </w:r>
      <w:r>
        <w:rPr>
          <w:rFonts w:hint="eastAsia"/>
          <w:sz w:val="32"/>
          <w:szCs w:val="32"/>
        </w:rPr>
        <w:t>d）排至田面无积水，水稻区农田排水设计暴雨重现期采用标准达到10年一遇，一日（1d）暴雨三日（</w:t>
      </w:r>
      <w:r>
        <w:rPr>
          <w:sz w:val="32"/>
          <w:szCs w:val="32"/>
        </w:rPr>
        <w:t>3</w:t>
      </w:r>
      <w:r>
        <w:rPr>
          <w:rFonts w:hint="eastAsia"/>
          <w:sz w:val="32"/>
          <w:szCs w:val="32"/>
        </w:rPr>
        <w:t>d）排至作物耐淹水深。</w:t>
      </w:r>
    </w:p>
    <w:p>
      <w:pPr>
        <w:pStyle w:val="4"/>
      </w:pPr>
      <w:bookmarkStart w:id="51" w:name="_Toc114850787"/>
      <w:bookmarkStart w:id="52" w:name="_Toc101043904"/>
      <w:bookmarkStart w:id="53" w:name="_Toc24227"/>
      <w:r>
        <w:t>田间道路</w:t>
      </w:r>
      <w:bookmarkEnd w:id="51"/>
      <w:bookmarkEnd w:id="52"/>
      <w:bookmarkEnd w:id="53"/>
    </w:p>
    <w:p>
      <w:pPr>
        <w:spacing w:line="600" w:lineRule="exact"/>
        <w:ind w:firstLine="640"/>
        <w:jc w:val="both"/>
        <w:rPr>
          <w:sz w:val="32"/>
          <w:szCs w:val="32"/>
        </w:rPr>
      </w:pPr>
      <w:r>
        <w:rPr>
          <w:sz w:val="32"/>
          <w:szCs w:val="32"/>
        </w:rPr>
        <w:t>田间道路布置应按照区域生产作业需要和农业机械化要求，优化机耕路、生产路布局，整修田间道路，充分利用现状农村公路，并与田、水、林、电、村规划相衔接，统筹兼顾，因地制宜确定道路密度、宽度等要求。机耕路宽度宜</w:t>
      </w:r>
      <w:r>
        <w:rPr>
          <w:rFonts w:hint="eastAsia"/>
          <w:sz w:val="32"/>
          <w:szCs w:val="32"/>
        </w:rPr>
        <w:t>4</w:t>
      </w:r>
      <w:r>
        <w:rPr>
          <w:sz w:val="32"/>
          <w:szCs w:val="32"/>
        </w:rPr>
        <w:t>~6m，生产路宽度不宜超过3m，在大型机械化作业区，路面可适当放宽。合理配套建设农机下田坡道、桥涵、错车</w:t>
      </w:r>
      <w:r>
        <w:rPr>
          <w:rFonts w:hint="eastAsia"/>
          <w:sz w:val="32"/>
          <w:szCs w:val="32"/>
        </w:rPr>
        <w:t>道</w:t>
      </w:r>
      <w:r>
        <w:rPr>
          <w:sz w:val="32"/>
          <w:szCs w:val="32"/>
        </w:rPr>
        <w:t>和末端调头点等附属设施，提高农机作业便捷度。倡导建设生态型田间道路，因地制宜减少硬化路面及附属设施对生态的不利影响。建成后，田间道路直接通达的田块数占田块总数的比例</w:t>
      </w:r>
      <w:r>
        <w:rPr>
          <w:rFonts w:hint="eastAsia"/>
          <w:sz w:val="32"/>
          <w:szCs w:val="32"/>
        </w:rPr>
        <w:t>，平原区</w:t>
      </w:r>
      <w:r>
        <w:rPr>
          <w:sz w:val="32"/>
          <w:szCs w:val="32"/>
        </w:rPr>
        <w:t>达到100%</w:t>
      </w:r>
      <w:r>
        <w:rPr>
          <w:rFonts w:hint="eastAsia"/>
          <w:sz w:val="32"/>
          <w:szCs w:val="32"/>
        </w:rPr>
        <w:t>，丘陵漫岗区达到90%以上</w:t>
      </w:r>
      <w:r>
        <w:rPr>
          <w:sz w:val="32"/>
          <w:szCs w:val="32"/>
        </w:rPr>
        <w:t>，满足农机作业、农业物资运输等农业生产活动的要求。</w:t>
      </w:r>
    </w:p>
    <w:p>
      <w:pPr>
        <w:pStyle w:val="4"/>
      </w:pPr>
      <w:bookmarkStart w:id="54" w:name="_Toc101043905"/>
      <w:bookmarkStart w:id="55" w:name="_Toc16111"/>
      <w:bookmarkStart w:id="56" w:name="_Toc114850788"/>
      <w:r>
        <w:t>农田防护和生态环境保护</w:t>
      </w:r>
      <w:bookmarkEnd w:id="54"/>
      <w:bookmarkEnd w:id="55"/>
      <w:bookmarkEnd w:id="56"/>
    </w:p>
    <w:p>
      <w:pPr>
        <w:overflowPunct w:val="0"/>
        <w:topLinePunct/>
        <w:spacing w:line="600" w:lineRule="exact"/>
        <w:ind w:firstLine="640"/>
        <w:jc w:val="both"/>
        <w:rPr>
          <w:sz w:val="32"/>
          <w:szCs w:val="32"/>
        </w:rPr>
      </w:pPr>
      <w:r>
        <w:rPr>
          <w:sz w:val="32"/>
          <w:szCs w:val="32"/>
        </w:rPr>
        <w:t>根据因害设防</w:t>
      </w:r>
      <w:r>
        <w:rPr>
          <w:rFonts w:hint="eastAsia"/>
          <w:sz w:val="32"/>
          <w:szCs w:val="32"/>
        </w:rPr>
        <w:t>、因地制宜的</w:t>
      </w:r>
      <w:r>
        <w:rPr>
          <w:sz w:val="32"/>
          <w:szCs w:val="32"/>
        </w:rPr>
        <w:t>原则，对农田防护与生态环境保护工程进行合理布局，与田块、沟渠、道路等工程相结合，与村庄环境相协调，完善农田防护与生态环境保护体系。</w:t>
      </w:r>
      <w:r>
        <w:rPr>
          <w:rFonts w:hint="eastAsia"/>
          <w:sz w:val="32"/>
          <w:szCs w:val="32"/>
        </w:rPr>
        <w:t>重点在东部低山丘陵区的上河湾镇、城子街街道、沐石河街道、其塔木镇、波泥河街道、胡家回族乡、土门岭街道、莽卡满族乡增加侵蚀沟的治理，以减少水土流失和保护耕地；对于普通的排涝沟，可采用排涝模数计算排水流量，确定建设内容。</w:t>
      </w:r>
      <w:r>
        <w:rPr>
          <w:rFonts w:hint="eastAsia" w:cs="宋体"/>
          <w:bCs/>
          <w:kern w:val="0"/>
          <w:sz w:val="32"/>
          <w:szCs w:val="32"/>
          <w:lang w:bidi="ar"/>
        </w:rPr>
        <w:t>九台区域内中小河流众多，河流对农田的冲蚀比较普遍，</w:t>
      </w:r>
      <w:r>
        <w:rPr>
          <w:sz w:val="32"/>
          <w:szCs w:val="32"/>
        </w:rPr>
        <w:t>合理修筑岸坡防护、沟道治理、坡面防护等设施，</w:t>
      </w:r>
      <w:r>
        <w:rPr>
          <w:rFonts w:hint="eastAsia"/>
          <w:sz w:val="32"/>
          <w:szCs w:val="32"/>
        </w:rPr>
        <w:t>岸坡防护根据实际需要采用土堤、干砌石、浆砌石、石笼、混凝土、生态护岸等方式进行小流域综合治理，</w:t>
      </w:r>
      <w:r>
        <w:rPr>
          <w:sz w:val="32"/>
          <w:szCs w:val="32"/>
        </w:rPr>
        <w:t>提高水土保持和防洪能力。确定树种、修建防护林网，显著风害地区宜采用长方形网格配置</w:t>
      </w:r>
      <w:r>
        <w:rPr>
          <w:rFonts w:hint="eastAsia"/>
          <w:sz w:val="32"/>
          <w:szCs w:val="32"/>
        </w:rPr>
        <w:t>。</w:t>
      </w:r>
      <w:r>
        <w:rPr>
          <w:sz w:val="32"/>
          <w:szCs w:val="32"/>
        </w:rPr>
        <w:t>建成后，林网与田块、沟渠、道路有机结合</w:t>
      </w:r>
      <w:r>
        <w:rPr>
          <w:rFonts w:hint="eastAsia"/>
          <w:sz w:val="32"/>
          <w:szCs w:val="32"/>
        </w:rPr>
        <w:t>，</w:t>
      </w:r>
      <w:r>
        <w:rPr>
          <w:sz w:val="32"/>
          <w:szCs w:val="32"/>
        </w:rPr>
        <w:t>林相整齐，结构合理。建成后，区域内受防护的农田面积比例</w:t>
      </w:r>
      <w:r>
        <w:rPr>
          <w:rFonts w:hint="eastAsia"/>
          <w:sz w:val="32"/>
          <w:szCs w:val="32"/>
        </w:rPr>
        <w:t>一般不低于</w:t>
      </w:r>
      <w:r>
        <w:rPr>
          <w:sz w:val="32"/>
          <w:szCs w:val="32"/>
        </w:rPr>
        <w:t>85%</w:t>
      </w:r>
      <w:r>
        <w:rPr>
          <w:rFonts w:hint="eastAsia"/>
          <w:sz w:val="32"/>
          <w:szCs w:val="32"/>
        </w:rPr>
        <w:t>。</w:t>
      </w:r>
    </w:p>
    <w:p>
      <w:pPr>
        <w:pStyle w:val="4"/>
      </w:pPr>
      <w:bookmarkStart w:id="57" w:name="_Toc114850789"/>
      <w:bookmarkStart w:id="58" w:name="_Toc6582"/>
      <w:bookmarkStart w:id="59" w:name="_Toc101043906"/>
      <w:r>
        <w:t>农田输配电</w:t>
      </w:r>
      <w:bookmarkEnd w:id="57"/>
      <w:bookmarkEnd w:id="58"/>
      <w:bookmarkEnd w:id="59"/>
    </w:p>
    <w:p>
      <w:pPr>
        <w:overflowPunct w:val="0"/>
        <w:topLinePunct/>
        <w:spacing w:line="600" w:lineRule="exact"/>
        <w:ind w:firstLine="640"/>
        <w:jc w:val="both"/>
        <w:rPr>
          <w:sz w:val="32"/>
          <w:szCs w:val="32"/>
        </w:rPr>
      </w:pPr>
      <w:r>
        <w:rPr>
          <w:sz w:val="32"/>
          <w:szCs w:val="32"/>
        </w:rPr>
        <w:t>对适宜电力排灌和信息化的农田，铺设高压和低压输电电路，配套建设变配电设施，为泵站、机井以及信息化工程等提供电力保障。根据农田现代化建设和管理要求，合理布设弱电设施。农田输配电工程供电方案应符合电网建设总体规划，因地制宜合理确定建设方案，做到安全可靠、经济适用。输配电设施应与田间道路、灌溉与排水等工程相结合。建成后，实现农田机井、泵站等供电设施完善、电力系统安装与运行符合相关标准，用电质量和安全水平得到提高。</w:t>
      </w:r>
    </w:p>
    <w:p>
      <w:pPr>
        <w:pStyle w:val="4"/>
      </w:pPr>
      <w:bookmarkStart w:id="60" w:name="_Toc24714"/>
      <w:bookmarkStart w:id="61" w:name="_Toc114850790"/>
      <w:bookmarkStart w:id="62" w:name="_Toc101043907"/>
      <w:r>
        <w:t>科技服务</w:t>
      </w:r>
      <w:bookmarkEnd w:id="60"/>
      <w:bookmarkEnd w:id="61"/>
      <w:bookmarkEnd w:id="62"/>
    </w:p>
    <w:p>
      <w:pPr>
        <w:overflowPunct w:val="0"/>
        <w:topLinePunct/>
        <w:spacing w:line="600" w:lineRule="exact"/>
        <w:ind w:firstLine="640"/>
        <w:jc w:val="both"/>
        <w:rPr>
          <w:sz w:val="32"/>
          <w:szCs w:val="32"/>
        </w:rPr>
      </w:pPr>
      <w:r>
        <w:rPr>
          <w:sz w:val="32"/>
          <w:szCs w:val="32"/>
        </w:rPr>
        <w:t>建立高标准农田耕地质量长期定位监测点，跟踪监测耕地质量变化情况，推广黑土地保护等技术措施，保护和持续提升耕地质量。推进数字农业、良种良法、科学施肥、病虫害综合防治等农业科技应用，科学合理利用高标准农田。通过加强农业科技配套与应用，秸秆全量利用；机械化耕、种、收综合作业水平达到95%，优良品种覆盖度达到95%以上；基本形成农田监测网络，保持土壤养分平衡，各项养分含量水平应保持在当地中值水平以上。</w:t>
      </w:r>
    </w:p>
    <w:p>
      <w:pPr>
        <w:pStyle w:val="4"/>
      </w:pPr>
      <w:bookmarkStart w:id="63" w:name="_Toc114850791"/>
      <w:bookmarkStart w:id="64" w:name="_Toc26625"/>
      <w:bookmarkStart w:id="65" w:name="_Toc101043908"/>
      <w:r>
        <w:t>管护利用</w:t>
      </w:r>
      <w:bookmarkEnd w:id="63"/>
      <w:bookmarkEnd w:id="64"/>
      <w:bookmarkEnd w:id="65"/>
    </w:p>
    <w:p>
      <w:pPr>
        <w:overflowPunct w:val="0"/>
        <w:topLinePunct/>
        <w:spacing w:line="600" w:lineRule="exact"/>
        <w:ind w:firstLine="640"/>
        <w:jc w:val="both"/>
        <w:rPr>
          <w:sz w:val="32"/>
          <w:szCs w:val="32"/>
        </w:rPr>
      </w:pPr>
      <w:r>
        <w:rPr>
          <w:sz w:val="32"/>
          <w:szCs w:val="32"/>
        </w:rPr>
        <w:t>对高标准农田建设和利用的全过程进行管理，实现集中统一、全程全面、实时动态的管理目标。利用</w:t>
      </w:r>
      <w:r>
        <w:rPr>
          <w:rFonts w:hint="eastAsia"/>
          <w:sz w:val="32"/>
          <w:szCs w:val="32"/>
        </w:rPr>
        <w:t>“</w:t>
      </w:r>
      <w:r>
        <w:rPr>
          <w:sz w:val="32"/>
          <w:szCs w:val="32"/>
        </w:rPr>
        <w:t>全国农田建设综合监测监管系统</w:t>
      </w:r>
      <w:r>
        <w:rPr>
          <w:rFonts w:hint="eastAsia"/>
          <w:sz w:val="32"/>
          <w:szCs w:val="32"/>
        </w:rPr>
        <w:t>”</w:t>
      </w:r>
      <w:r>
        <w:rPr>
          <w:sz w:val="32"/>
          <w:szCs w:val="32"/>
        </w:rPr>
        <w:t>平台，定期全面报备建设信息，全面开展高标准农田建设项目信息统一上图入库，实现有据可查、全程监控、精准管理、资源共享。及时将与高标准农田建设相关的管理、技术等资料立卷归档。</w:t>
      </w:r>
    </w:p>
    <w:p>
      <w:pPr>
        <w:widowControl/>
        <w:tabs>
          <w:tab w:val="left" w:pos="960"/>
          <w:tab w:val="left" w:pos="7210"/>
        </w:tabs>
        <w:spacing w:line="600" w:lineRule="exact"/>
        <w:ind w:firstLine="0" w:firstLineChars="0"/>
        <w:jc w:val="center"/>
        <w:rPr>
          <w:rFonts w:cs="Times New Roman"/>
          <w:b/>
          <w:bCs/>
          <w:iCs/>
          <w:kern w:val="0"/>
          <w:szCs w:val="20"/>
        </w:rPr>
      </w:pPr>
      <w:r>
        <w:rPr>
          <w:rFonts w:cs="Times New Roman"/>
          <w:b/>
          <w:iCs/>
          <w:kern w:val="0"/>
          <w:szCs w:val="20"/>
        </w:rPr>
        <w:t xml:space="preserve">专栏 2   </w:t>
      </w:r>
      <w:r>
        <w:rPr>
          <w:rFonts w:cs="Times New Roman"/>
          <w:b/>
          <w:bCs/>
          <w:iCs/>
          <w:kern w:val="0"/>
          <w:szCs w:val="20"/>
        </w:rPr>
        <w:t>高标准农田示范区工程</w:t>
      </w:r>
    </w:p>
    <w:tbl>
      <w:tblPr>
        <w:tblStyle w:val="30"/>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9059" w:type="dxa"/>
          </w:tcPr>
          <w:p>
            <w:pPr>
              <w:widowControl/>
              <w:tabs>
                <w:tab w:val="left" w:pos="960"/>
                <w:tab w:val="left" w:pos="7210"/>
              </w:tabs>
              <w:spacing w:before="93" w:beforeLines="30" w:after="93" w:afterLines="30" w:line="288" w:lineRule="auto"/>
              <w:ind w:firstLine="560"/>
              <w:jc w:val="left"/>
              <w:rPr>
                <w:rFonts w:eastAsia="黑体" w:cs="Times New Roman"/>
                <w:b/>
                <w:bCs/>
                <w:iCs/>
                <w:kern w:val="0"/>
                <w:szCs w:val="20"/>
              </w:rPr>
            </w:pPr>
            <w:r>
              <w:t>在</w:t>
            </w:r>
            <w:r>
              <w:rPr>
                <w:rFonts w:hint="eastAsia"/>
              </w:rPr>
              <w:t>九台区</w:t>
            </w:r>
            <w:r>
              <w:t>，</w:t>
            </w:r>
            <w:r>
              <w:rPr>
                <w:rFonts w:hint="eastAsia"/>
              </w:rPr>
              <w:t>选择</w:t>
            </w:r>
            <w:r>
              <w:t>基础设施良好，管理机制顺畅，</w:t>
            </w:r>
            <w:r>
              <w:rPr>
                <w:rFonts w:hint="eastAsia"/>
              </w:rPr>
              <w:t>农产品生产</w:t>
            </w:r>
            <w:r>
              <w:t>优势</w:t>
            </w:r>
            <w:r>
              <w:rPr>
                <w:rFonts w:hint="eastAsia"/>
              </w:rPr>
              <w:t>与</w:t>
            </w:r>
            <w:r>
              <w:t>特色明</w:t>
            </w:r>
            <w:r>
              <w:rPr>
                <w:rFonts w:hint="eastAsia"/>
              </w:rPr>
              <w:t>显</w:t>
            </w:r>
            <w:r>
              <w:t>，产业化水平高产业拉动作用</w:t>
            </w:r>
            <w:r>
              <w:rPr>
                <w:rFonts w:hint="eastAsia"/>
              </w:rPr>
              <w:t>明显</w:t>
            </w:r>
            <w:r>
              <w:t>区域，针对</w:t>
            </w:r>
            <w:r>
              <w:rPr>
                <w:rFonts w:hint="eastAsia"/>
              </w:rPr>
              <w:t>典型</w:t>
            </w:r>
            <w:r>
              <w:t>黑土区土壤类型</w:t>
            </w:r>
            <w:r>
              <w:rPr>
                <w:rFonts w:hint="eastAsia"/>
              </w:rPr>
              <w:t>情况</w:t>
            </w:r>
            <w:r>
              <w:t>，建设高标准农田示范区，为全</w:t>
            </w:r>
            <w:r>
              <w:rPr>
                <w:rFonts w:hint="eastAsia"/>
              </w:rPr>
              <w:t>区</w:t>
            </w:r>
            <w:r>
              <w:t>高标准农田高质量发展提供典型示范。</w:t>
            </w:r>
          </w:p>
        </w:tc>
      </w:tr>
    </w:tbl>
    <w:p>
      <w:pPr>
        <w:overflowPunct w:val="0"/>
        <w:topLinePunct/>
        <w:spacing w:line="600" w:lineRule="exact"/>
        <w:ind w:firstLine="640"/>
        <w:jc w:val="both"/>
      </w:pPr>
      <w:r>
        <w:rPr>
          <w:rFonts w:hint="eastAsia"/>
          <w:sz w:val="32"/>
          <w:szCs w:val="32"/>
        </w:rPr>
        <w:t>依据《耕地质量等级》（GB/T33469）国家标准，在项目实施前后及时开展耕地质量等级调查评价。深入推进农业水价综合改革，落实高标准农田管护主体和责任，引导新型经营主体参与高标准农田设施运行管护。健全管护制度，落实管护资金，加强管护资金使用监管，及时修复损毁工程，确保建成的高标准农田持续发挥效益。建成后的高标准农田应通过具体措施，实现土壤肥力保持或持续提高，使土壤有机质含量达到当地中值以上水平，并应持续实施测土配方施肥，保持土壤养分平衡，各项养分含量指标应达到并保持在当地土壤养分丰缺指标体系的中值水平左右，增加资金投入，提高测土配方施肥技术覆盖率。</w:t>
      </w:r>
      <w:r>
        <w:br w:type="page"/>
      </w:r>
    </w:p>
    <w:p>
      <w:pPr>
        <w:pStyle w:val="3"/>
        <w:rPr>
          <w:rFonts w:ascii="Times New Roman"/>
        </w:rPr>
      </w:pPr>
      <w:bookmarkStart w:id="66" w:name="_Toc114850792"/>
      <w:r>
        <w:rPr>
          <w:rFonts w:hint="eastAsia" w:ascii="Times New Roman"/>
        </w:rPr>
        <w:t>建设任务与建设重点</w:t>
      </w:r>
      <w:bookmarkEnd w:id="66"/>
    </w:p>
    <w:p>
      <w:pPr>
        <w:overflowPunct w:val="0"/>
        <w:topLinePunct/>
        <w:spacing w:line="600" w:lineRule="exact"/>
        <w:ind w:firstLine="560"/>
        <w:jc w:val="both"/>
        <w:rPr>
          <w:sz w:val="32"/>
          <w:szCs w:val="32"/>
        </w:rPr>
      </w:pPr>
      <w:r>
        <w:rPr>
          <w:rFonts w:hint="eastAsia"/>
        </w:rPr>
        <w:drawing>
          <wp:anchor distT="0" distB="0" distL="114300" distR="114300" simplePos="0" relativeHeight="251663360" behindDoc="0" locked="0" layoutInCell="1" allowOverlap="1">
            <wp:simplePos x="0" y="0"/>
            <wp:positionH relativeFrom="column">
              <wp:posOffset>701675</wp:posOffset>
            </wp:positionH>
            <wp:positionV relativeFrom="paragraph">
              <wp:posOffset>1981200</wp:posOffset>
            </wp:positionV>
            <wp:extent cx="4323715" cy="439102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323699" cy="4390845"/>
                    </a:xfrm>
                    <a:prstGeom prst="rect">
                      <a:avLst/>
                    </a:prstGeom>
                  </pic:spPr>
                </pic:pic>
              </a:graphicData>
            </a:graphic>
          </wp:anchor>
        </w:drawing>
      </w:r>
      <w:r>
        <w:rPr>
          <w:rFonts w:hint="eastAsia"/>
          <w:sz w:val="32"/>
          <w:szCs w:val="32"/>
        </w:rPr>
        <w:t>高标准</w:t>
      </w:r>
      <w:r>
        <w:rPr>
          <w:sz w:val="32"/>
          <w:szCs w:val="32"/>
        </w:rPr>
        <w:t>农田建设主要以农业后备资源丰富，增产潜力显著的连片农田作为规划主区域</w:t>
      </w:r>
      <w:r>
        <w:rPr>
          <w:rFonts w:hint="eastAsia"/>
          <w:sz w:val="32"/>
          <w:szCs w:val="32"/>
        </w:rPr>
        <w:t>，区分项目类型</w:t>
      </w:r>
      <w:r>
        <w:rPr>
          <w:sz w:val="32"/>
          <w:szCs w:val="32"/>
        </w:rPr>
        <w:t>采取针对性措施。</w:t>
      </w:r>
      <w:r>
        <w:rPr>
          <w:rFonts w:hint="eastAsia"/>
          <w:sz w:val="32"/>
          <w:szCs w:val="32"/>
        </w:rPr>
        <w:t>同时</w:t>
      </w:r>
      <w:r>
        <w:rPr>
          <w:sz w:val="32"/>
          <w:szCs w:val="32"/>
        </w:rPr>
        <w:t>根据</w:t>
      </w:r>
      <w:r>
        <w:rPr>
          <w:rFonts w:hint="eastAsia"/>
          <w:sz w:val="32"/>
          <w:szCs w:val="32"/>
        </w:rPr>
        <w:t>九台区地形地貌</w:t>
      </w:r>
      <w:r>
        <w:rPr>
          <w:sz w:val="32"/>
          <w:szCs w:val="32"/>
        </w:rPr>
        <w:t>，结合全</w:t>
      </w:r>
      <w:r>
        <w:rPr>
          <w:rFonts w:hint="eastAsia"/>
          <w:sz w:val="32"/>
          <w:szCs w:val="32"/>
        </w:rPr>
        <w:t>区高标准农田建设现状</w:t>
      </w:r>
      <w:r>
        <w:rPr>
          <w:sz w:val="32"/>
          <w:szCs w:val="32"/>
        </w:rPr>
        <w:t>，将全</w:t>
      </w:r>
      <w:r>
        <w:rPr>
          <w:rFonts w:hint="eastAsia"/>
          <w:sz w:val="32"/>
          <w:szCs w:val="32"/>
        </w:rPr>
        <w:t>区</w:t>
      </w:r>
      <w:r>
        <w:rPr>
          <w:sz w:val="32"/>
          <w:szCs w:val="32"/>
        </w:rPr>
        <w:t>耕地划分为</w:t>
      </w:r>
      <w:r>
        <w:rPr>
          <w:rFonts w:hint="eastAsia"/>
          <w:sz w:val="32"/>
          <w:szCs w:val="32"/>
        </w:rPr>
        <w:t>西部冲积平原区和东部低山丘陵区2</w:t>
      </w:r>
      <w:r>
        <w:rPr>
          <w:sz w:val="32"/>
          <w:szCs w:val="32"/>
        </w:rPr>
        <w:t>个区域，因地制宜，</w:t>
      </w:r>
      <w:r>
        <w:rPr>
          <w:rFonts w:hint="eastAsia"/>
          <w:sz w:val="32"/>
          <w:szCs w:val="32"/>
        </w:rPr>
        <w:t>确定建设重点，</w:t>
      </w:r>
      <w:r>
        <w:rPr>
          <w:sz w:val="32"/>
          <w:szCs w:val="32"/>
        </w:rPr>
        <w:t>推动</w:t>
      </w:r>
      <w:r>
        <w:rPr>
          <w:rFonts w:hint="eastAsia"/>
          <w:sz w:val="32"/>
          <w:szCs w:val="32"/>
        </w:rPr>
        <w:t>高标准</w:t>
      </w:r>
      <w:r>
        <w:rPr>
          <w:sz w:val="32"/>
          <w:szCs w:val="32"/>
        </w:rPr>
        <w:t>农田建设。</w:t>
      </w:r>
    </w:p>
    <w:p>
      <w:pPr>
        <w:pStyle w:val="2"/>
        <w:spacing w:after="0" w:line="600" w:lineRule="exact"/>
        <w:ind w:left="0" w:leftChars="0" w:firstLine="0" w:firstLineChars="0"/>
        <w:jc w:val="center"/>
        <w:rPr>
          <w:b/>
          <w:bCs/>
          <w:szCs w:val="28"/>
        </w:rPr>
      </w:pPr>
      <w:r>
        <w:rPr>
          <w:rFonts w:hint="eastAsia"/>
          <w:b/>
          <w:bCs/>
          <w:szCs w:val="28"/>
        </w:rPr>
        <w:t>图5-1</w:t>
      </w:r>
      <w:r>
        <w:rPr>
          <w:b/>
          <w:bCs/>
          <w:szCs w:val="28"/>
        </w:rPr>
        <w:t xml:space="preserve">   </w:t>
      </w:r>
      <w:r>
        <w:rPr>
          <w:rFonts w:hint="eastAsia"/>
          <w:b/>
          <w:bCs/>
          <w:szCs w:val="28"/>
        </w:rPr>
        <w:t>九台区高标准农田建设规划分区图</w:t>
      </w:r>
    </w:p>
    <w:p>
      <w:pPr>
        <w:pStyle w:val="4"/>
      </w:pPr>
      <w:bookmarkStart w:id="67" w:name="_Toc114850793"/>
      <w:r>
        <w:rPr>
          <w:rFonts w:hint="eastAsia"/>
        </w:rPr>
        <w:t>新增建设项目</w:t>
      </w:r>
      <w:bookmarkEnd w:id="67"/>
    </w:p>
    <w:p>
      <w:pPr>
        <w:pStyle w:val="5"/>
      </w:pPr>
      <w:r>
        <w:rPr>
          <w:rFonts w:hint="eastAsia"/>
        </w:rPr>
        <w:t>建设任务</w:t>
      </w:r>
    </w:p>
    <w:p>
      <w:pPr>
        <w:spacing w:line="600" w:lineRule="exact"/>
        <w:ind w:firstLine="640"/>
        <w:jc w:val="both"/>
        <w:rPr>
          <w:sz w:val="32"/>
          <w:szCs w:val="32"/>
        </w:rPr>
      </w:pPr>
      <w:r>
        <w:rPr>
          <w:rFonts w:hint="eastAsia"/>
          <w:sz w:val="32"/>
          <w:szCs w:val="32"/>
        </w:rPr>
        <w:t>九台区规划期内新增建设</w:t>
      </w:r>
      <w:r>
        <w:rPr>
          <w:sz w:val="32"/>
          <w:szCs w:val="32"/>
        </w:rPr>
        <w:t>高标准农田</w:t>
      </w:r>
      <w:r>
        <w:rPr>
          <w:rFonts w:hint="eastAsia"/>
          <w:sz w:val="32"/>
          <w:szCs w:val="32"/>
        </w:rPr>
        <w:t>规划面积总计</w:t>
      </w:r>
      <w:r>
        <w:rPr>
          <w:sz w:val="32"/>
          <w:szCs w:val="32"/>
        </w:rPr>
        <w:t>70万亩</w:t>
      </w:r>
      <w:r>
        <w:rPr>
          <w:rFonts w:hint="eastAsia"/>
          <w:sz w:val="32"/>
          <w:szCs w:val="32"/>
        </w:rPr>
        <w:t>，其中：2</w:t>
      </w:r>
      <w:r>
        <w:rPr>
          <w:sz w:val="32"/>
          <w:szCs w:val="32"/>
        </w:rPr>
        <w:t>021-2025</w:t>
      </w:r>
      <w:r>
        <w:rPr>
          <w:rFonts w:hint="eastAsia"/>
          <w:sz w:val="32"/>
          <w:szCs w:val="32"/>
        </w:rPr>
        <w:t>年新增建设</w:t>
      </w:r>
      <w:r>
        <w:rPr>
          <w:sz w:val="32"/>
          <w:szCs w:val="32"/>
        </w:rPr>
        <w:t>高标准农田</w:t>
      </w:r>
      <w:r>
        <w:rPr>
          <w:rFonts w:hint="eastAsia"/>
          <w:sz w:val="32"/>
          <w:szCs w:val="32"/>
        </w:rPr>
        <w:t>规划面积</w:t>
      </w:r>
      <w:r>
        <w:rPr>
          <w:sz w:val="32"/>
          <w:szCs w:val="32"/>
        </w:rPr>
        <w:t>45</w:t>
      </w:r>
      <w:r>
        <w:rPr>
          <w:rFonts w:hint="eastAsia"/>
          <w:sz w:val="32"/>
          <w:szCs w:val="32"/>
        </w:rPr>
        <w:t>万亩；2</w:t>
      </w:r>
      <w:r>
        <w:rPr>
          <w:sz w:val="32"/>
          <w:szCs w:val="32"/>
        </w:rPr>
        <w:t>026-2030</w:t>
      </w:r>
      <w:r>
        <w:rPr>
          <w:rFonts w:hint="eastAsia"/>
          <w:sz w:val="32"/>
          <w:szCs w:val="32"/>
        </w:rPr>
        <w:t>年新增建设</w:t>
      </w:r>
      <w:r>
        <w:rPr>
          <w:sz w:val="32"/>
          <w:szCs w:val="32"/>
        </w:rPr>
        <w:t>高标准农田</w:t>
      </w:r>
      <w:r>
        <w:rPr>
          <w:rFonts w:hint="eastAsia"/>
          <w:sz w:val="32"/>
          <w:szCs w:val="32"/>
        </w:rPr>
        <w:t>规划面积25万亩。项目库见附表1</w:t>
      </w:r>
    </w:p>
    <w:p>
      <w:pPr>
        <w:pStyle w:val="49"/>
        <w:spacing w:before="156" w:beforeLines="50"/>
        <w:rPr>
          <w:rFonts w:eastAsia="仿宋"/>
          <w:bCs/>
          <w:szCs w:val="24"/>
        </w:rPr>
      </w:pPr>
      <w:r>
        <w:rPr>
          <w:rFonts w:eastAsia="仿宋"/>
          <w:bCs/>
          <w:sz w:val="28"/>
          <w:szCs w:val="24"/>
        </w:rPr>
        <w:t>表</w:t>
      </w:r>
      <w:r>
        <w:rPr>
          <w:rFonts w:hint="eastAsia" w:eastAsia="仿宋"/>
          <w:bCs/>
          <w:sz w:val="28"/>
          <w:szCs w:val="24"/>
        </w:rPr>
        <w:t>5-</w:t>
      </w:r>
      <w:r>
        <w:rPr>
          <w:rFonts w:eastAsia="仿宋"/>
          <w:bCs/>
          <w:sz w:val="28"/>
          <w:szCs w:val="24"/>
        </w:rPr>
        <w:fldChar w:fldCharType="begin"/>
      </w:r>
      <w:r>
        <w:rPr>
          <w:rFonts w:eastAsia="仿宋"/>
          <w:bCs/>
          <w:sz w:val="28"/>
          <w:szCs w:val="24"/>
        </w:rPr>
        <w:instrText xml:space="preserve"> SEQ 表 \* ARABIC \s 1 </w:instrText>
      </w:r>
      <w:r>
        <w:rPr>
          <w:rFonts w:eastAsia="仿宋"/>
          <w:bCs/>
          <w:sz w:val="28"/>
          <w:szCs w:val="24"/>
        </w:rPr>
        <w:fldChar w:fldCharType="separate"/>
      </w:r>
      <w:r>
        <w:rPr>
          <w:rFonts w:eastAsia="仿宋"/>
          <w:bCs/>
          <w:sz w:val="28"/>
          <w:szCs w:val="24"/>
        </w:rPr>
        <w:t>1</w:t>
      </w:r>
      <w:r>
        <w:rPr>
          <w:rFonts w:eastAsia="仿宋"/>
          <w:bCs/>
          <w:sz w:val="28"/>
          <w:szCs w:val="24"/>
        </w:rPr>
        <w:fldChar w:fldCharType="end"/>
      </w:r>
      <w:r>
        <w:rPr>
          <w:rFonts w:hint="eastAsia" w:eastAsia="仿宋"/>
          <w:bCs/>
          <w:sz w:val="28"/>
          <w:szCs w:val="24"/>
        </w:rPr>
        <w:t xml:space="preserve">     </w:t>
      </w:r>
      <w:r>
        <w:rPr>
          <w:rFonts w:eastAsia="仿宋"/>
          <w:bCs/>
          <w:sz w:val="28"/>
          <w:szCs w:val="24"/>
        </w:rPr>
        <w:t xml:space="preserve"> </w:t>
      </w:r>
      <w:r>
        <w:rPr>
          <w:rFonts w:hint="eastAsia" w:eastAsia="仿宋"/>
          <w:bCs/>
          <w:sz w:val="28"/>
          <w:szCs w:val="24"/>
        </w:rPr>
        <w:t xml:space="preserve">    </w:t>
      </w:r>
      <w:r>
        <w:rPr>
          <w:rFonts w:eastAsia="仿宋"/>
          <w:bCs/>
          <w:sz w:val="28"/>
          <w:szCs w:val="24"/>
        </w:rPr>
        <w:t xml:space="preserve">     </w:t>
      </w:r>
      <w:r>
        <w:rPr>
          <w:rFonts w:hint="eastAsia" w:eastAsia="仿宋"/>
          <w:bCs/>
          <w:sz w:val="28"/>
          <w:szCs w:val="24"/>
        </w:rPr>
        <w:t xml:space="preserve">新增建设高标准农田项目（2021-2025年）规划     </w:t>
      </w:r>
      <w:r>
        <w:rPr>
          <w:rFonts w:eastAsia="仿宋"/>
          <w:bCs/>
          <w:sz w:val="28"/>
          <w:szCs w:val="24"/>
        </w:rPr>
        <w:t xml:space="preserve">       </w:t>
      </w:r>
      <w:r>
        <w:rPr>
          <w:rFonts w:hint="eastAsia" w:eastAsia="仿宋"/>
          <w:bCs/>
          <w:sz w:val="28"/>
          <w:szCs w:val="24"/>
        </w:rPr>
        <w:t>万亩</w:t>
      </w:r>
    </w:p>
    <w:tbl>
      <w:tblPr>
        <w:tblStyle w:val="29"/>
        <w:tblW w:w="5000" w:type="pct"/>
        <w:jc w:val="center"/>
        <w:tblLayout w:type="autofit"/>
        <w:tblCellMar>
          <w:top w:w="0" w:type="dxa"/>
          <w:left w:w="108" w:type="dxa"/>
          <w:bottom w:w="0" w:type="dxa"/>
          <w:right w:w="108" w:type="dxa"/>
        </w:tblCellMar>
      </w:tblPr>
      <w:tblGrid>
        <w:gridCol w:w="2359"/>
        <w:gridCol w:w="3427"/>
        <w:gridCol w:w="1652"/>
        <w:gridCol w:w="1793"/>
      </w:tblGrid>
      <w:tr>
        <w:tblPrEx>
          <w:tblCellMar>
            <w:top w:w="0" w:type="dxa"/>
            <w:left w:w="108" w:type="dxa"/>
            <w:bottom w:w="0" w:type="dxa"/>
            <w:right w:w="108" w:type="dxa"/>
          </w:tblCellMar>
        </w:tblPrEx>
        <w:trPr>
          <w:trHeight w:val="375" w:hRule="atLeast"/>
          <w:jc w:val="center"/>
        </w:trPr>
        <w:tc>
          <w:tcPr>
            <w:tcW w:w="127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年度</w:t>
            </w:r>
          </w:p>
        </w:tc>
        <w:tc>
          <w:tcPr>
            <w:tcW w:w="185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乡镇</w:t>
            </w:r>
          </w:p>
        </w:tc>
        <w:tc>
          <w:tcPr>
            <w:tcW w:w="895"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面积</w:t>
            </w:r>
          </w:p>
        </w:tc>
        <w:tc>
          <w:tcPr>
            <w:tcW w:w="97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小计</w:t>
            </w:r>
          </w:p>
        </w:tc>
      </w:tr>
      <w:tr>
        <w:tblPrEx>
          <w:tblCellMar>
            <w:top w:w="0" w:type="dxa"/>
            <w:left w:w="108" w:type="dxa"/>
            <w:bottom w:w="0" w:type="dxa"/>
            <w:right w:w="108" w:type="dxa"/>
          </w:tblCellMar>
        </w:tblPrEx>
        <w:trPr>
          <w:trHeight w:val="375" w:hRule="atLeast"/>
          <w:jc w:val="center"/>
        </w:trPr>
        <w:tc>
          <w:tcPr>
            <w:tcW w:w="313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合计</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45</w:t>
            </w:r>
          </w:p>
        </w:tc>
        <w:tc>
          <w:tcPr>
            <w:tcW w:w="97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45</w:t>
            </w:r>
          </w:p>
        </w:tc>
      </w:tr>
      <w:tr>
        <w:tblPrEx>
          <w:tblCellMar>
            <w:top w:w="0" w:type="dxa"/>
            <w:left w:w="108" w:type="dxa"/>
            <w:bottom w:w="0" w:type="dxa"/>
            <w:right w:w="108" w:type="dxa"/>
          </w:tblCellMar>
        </w:tblPrEx>
        <w:trPr>
          <w:trHeight w:val="375" w:hRule="atLeast"/>
          <w:jc w:val="center"/>
        </w:trPr>
        <w:tc>
          <w:tcPr>
            <w:tcW w:w="127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2021</w:t>
            </w:r>
            <w:r>
              <w:rPr>
                <w:rFonts w:hint="eastAsia" w:cs="Times New Roman"/>
                <w:kern w:val="0"/>
                <w:szCs w:val="28"/>
              </w:rPr>
              <w:t>年</w:t>
            </w: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城子街街道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7.25</w:t>
            </w:r>
          </w:p>
        </w:tc>
        <w:tc>
          <w:tcPr>
            <w:tcW w:w="97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16.1</w:t>
            </w:r>
          </w:p>
        </w:tc>
      </w:tr>
      <w:tr>
        <w:tblPrEx>
          <w:tblCellMar>
            <w:top w:w="0" w:type="dxa"/>
            <w:left w:w="108" w:type="dxa"/>
            <w:bottom w:w="0" w:type="dxa"/>
            <w:right w:w="108" w:type="dxa"/>
          </w:tblCellMar>
        </w:tblPrEx>
        <w:trPr>
          <w:trHeight w:val="375" w:hRule="atLeast"/>
          <w:jc w:val="center"/>
        </w:trPr>
        <w:tc>
          <w:tcPr>
            <w:tcW w:w="1278"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沐石河街道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5.65</w:t>
            </w:r>
          </w:p>
        </w:tc>
        <w:tc>
          <w:tcPr>
            <w:tcW w:w="97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r>
      <w:tr>
        <w:tblPrEx>
          <w:tblCellMar>
            <w:top w:w="0" w:type="dxa"/>
            <w:left w:w="108" w:type="dxa"/>
            <w:bottom w:w="0" w:type="dxa"/>
            <w:right w:w="108" w:type="dxa"/>
          </w:tblCellMar>
        </w:tblPrEx>
        <w:trPr>
          <w:trHeight w:val="375" w:hRule="atLeast"/>
          <w:jc w:val="center"/>
        </w:trPr>
        <w:tc>
          <w:tcPr>
            <w:tcW w:w="1278"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其塔木镇</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3.2</w:t>
            </w:r>
          </w:p>
        </w:tc>
        <w:tc>
          <w:tcPr>
            <w:tcW w:w="97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r>
      <w:tr>
        <w:tblPrEx>
          <w:tblCellMar>
            <w:top w:w="0" w:type="dxa"/>
            <w:left w:w="108" w:type="dxa"/>
            <w:bottom w:w="0" w:type="dxa"/>
            <w:right w:w="108" w:type="dxa"/>
          </w:tblCellMar>
        </w:tblPrEx>
        <w:trPr>
          <w:trHeight w:val="375" w:hRule="atLeast"/>
          <w:jc w:val="center"/>
        </w:trPr>
        <w:tc>
          <w:tcPr>
            <w:tcW w:w="1278" w:type="pct"/>
            <w:vMerge w:val="restart"/>
            <w:tcBorders>
              <w:top w:val="nil"/>
              <w:left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2022</w:t>
            </w:r>
            <w:r>
              <w:rPr>
                <w:rFonts w:hint="eastAsia" w:cs="Times New Roman"/>
                <w:kern w:val="0"/>
                <w:szCs w:val="28"/>
              </w:rPr>
              <w:t>年</w:t>
            </w: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城子街街道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6.25</w:t>
            </w:r>
          </w:p>
        </w:tc>
        <w:tc>
          <w:tcPr>
            <w:tcW w:w="971" w:type="pct"/>
            <w:vMerge w:val="restart"/>
            <w:tcBorders>
              <w:top w:val="nil"/>
              <w:left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20.25</w:t>
            </w:r>
          </w:p>
        </w:tc>
      </w:tr>
      <w:tr>
        <w:tblPrEx>
          <w:tblCellMar>
            <w:top w:w="0" w:type="dxa"/>
            <w:left w:w="108" w:type="dxa"/>
            <w:bottom w:w="0" w:type="dxa"/>
            <w:right w:w="108" w:type="dxa"/>
          </w:tblCellMar>
        </w:tblPrEx>
        <w:trPr>
          <w:trHeight w:val="375" w:hRule="atLeast"/>
          <w:jc w:val="center"/>
        </w:trPr>
        <w:tc>
          <w:tcPr>
            <w:tcW w:w="1278"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上河湾镇</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13</w:t>
            </w:r>
          </w:p>
        </w:tc>
        <w:tc>
          <w:tcPr>
            <w:tcW w:w="971"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r>
      <w:tr>
        <w:tblPrEx>
          <w:tblCellMar>
            <w:top w:w="0" w:type="dxa"/>
            <w:left w:w="108" w:type="dxa"/>
            <w:bottom w:w="0" w:type="dxa"/>
            <w:right w:w="108" w:type="dxa"/>
          </w:tblCellMar>
        </w:tblPrEx>
        <w:trPr>
          <w:trHeight w:val="375" w:hRule="atLeast"/>
          <w:jc w:val="center"/>
        </w:trPr>
        <w:tc>
          <w:tcPr>
            <w:tcW w:w="1278" w:type="pct"/>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波泥河街道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hint="eastAsia" w:cs="Times New Roman"/>
                <w:kern w:val="0"/>
                <w:szCs w:val="28"/>
              </w:rPr>
              <w:t>1</w:t>
            </w:r>
          </w:p>
        </w:tc>
        <w:tc>
          <w:tcPr>
            <w:tcW w:w="971" w:type="pct"/>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Times New Roman"/>
                <w:kern w:val="0"/>
                <w:szCs w:val="28"/>
              </w:rPr>
            </w:pPr>
          </w:p>
        </w:tc>
      </w:tr>
      <w:tr>
        <w:tblPrEx>
          <w:tblCellMar>
            <w:top w:w="0" w:type="dxa"/>
            <w:left w:w="108" w:type="dxa"/>
            <w:bottom w:w="0" w:type="dxa"/>
            <w:right w:w="108" w:type="dxa"/>
          </w:tblCellMar>
        </w:tblPrEx>
        <w:trPr>
          <w:trHeight w:val="375" w:hRule="atLeast"/>
          <w:jc w:val="center"/>
        </w:trPr>
        <w:tc>
          <w:tcPr>
            <w:tcW w:w="127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2023</w:t>
            </w:r>
            <w:r>
              <w:rPr>
                <w:rFonts w:hint="eastAsia" w:cs="Times New Roman"/>
                <w:kern w:val="0"/>
                <w:szCs w:val="28"/>
              </w:rPr>
              <w:t>年</w:t>
            </w: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沐石河街道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2.65</w:t>
            </w:r>
          </w:p>
        </w:tc>
        <w:tc>
          <w:tcPr>
            <w:tcW w:w="97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2.65</w:t>
            </w:r>
          </w:p>
        </w:tc>
      </w:tr>
      <w:tr>
        <w:tblPrEx>
          <w:tblCellMar>
            <w:top w:w="0" w:type="dxa"/>
            <w:left w:w="108" w:type="dxa"/>
            <w:bottom w:w="0" w:type="dxa"/>
            <w:right w:w="108" w:type="dxa"/>
          </w:tblCellMar>
        </w:tblPrEx>
        <w:trPr>
          <w:trHeight w:val="375" w:hRule="atLeast"/>
          <w:jc w:val="center"/>
        </w:trPr>
        <w:tc>
          <w:tcPr>
            <w:tcW w:w="127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2024</w:t>
            </w:r>
            <w:r>
              <w:rPr>
                <w:rFonts w:hint="eastAsia" w:cs="Times New Roman"/>
                <w:kern w:val="0"/>
                <w:szCs w:val="28"/>
              </w:rPr>
              <w:t>年</w:t>
            </w: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苇子沟街道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3</w:t>
            </w:r>
          </w:p>
        </w:tc>
        <w:tc>
          <w:tcPr>
            <w:tcW w:w="97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3</w:t>
            </w:r>
          </w:p>
        </w:tc>
      </w:tr>
      <w:tr>
        <w:tblPrEx>
          <w:tblCellMar>
            <w:top w:w="0" w:type="dxa"/>
            <w:left w:w="108" w:type="dxa"/>
            <w:bottom w:w="0" w:type="dxa"/>
            <w:right w:w="108" w:type="dxa"/>
          </w:tblCellMar>
        </w:tblPrEx>
        <w:trPr>
          <w:trHeight w:val="375" w:hRule="atLeast"/>
          <w:jc w:val="center"/>
        </w:trPr>
        <w:tc>
          <w:tcPr>
            <w:tcW w:w="127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2025</w:t>
            </w:r>
            <w:r>
              <w:rPr>
                <w:rFonts w:hint="eastAsia" w:cs="Times New Roman"/>
                <w:kern w:val="0"/>
                <w:szCs w:val="28"/>
              </w:rPr>
              <w:t>年</w:t>
            </w:r>
          </w:p>
        </w:tc>
        <w:tc>
          <w:tcPr>
            <w:tcW w:w="185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土们岭街道</w:t>
            </w:r>
          </w:p>
        </w:tc>
        <w:tc>
          <w:tcPr>
            <w:tcW w:w="89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3</w:t>
            </w:r>
          </w:p>
        </w:tc>
        <w:tc>
          <w:tcPr>
            <w:tcW w:w="971"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3</w:t>
            </w:r>
          </w:p>
        </w:tc>
      </w:tr>
    </w:tbl>
    <w:p>
      <w:pPr>
        <w:pStyle w:val="49"/>
        <w:spacing w:before="156" w:beforeLines="50"/>
        <w:rPr>
          <w:rFonts w:eastAsia="仿宋"/>
          <w:bCs/>
          <w:sz w:val="28"/>
          <w:szCs w:val="24"/>
        </w:rPr>
      </w:pPr>
      <w:r>
        <w:rPr>
          <w:rFonts w:eastAsia="仿宋"/>
          <w:bCs/>
          <w:sz w:val="28"/>
          <w:szCs w:val="24"/>
        </w:rPr>
        <w:t>表</w:t>
      </w:r>
      <w:r>
        <w:rPr>
          <w:rFonts w:hint="eastAsia" w:eastAsia="仿宋"/>
          <w:bCs/>
          <w:sz w:val="28"/>
          <w:szCs w:val="24"/>
        </w:rPr>
        <w:t xml:space="preserve">5-2    </w:t>
      </w:r>
      <w:r>
        <w:rPr>
          <w:rFonts w:eastAsia="仿宋"/>
          <w:bCs/>
          <w:sz w:val="28"/>
          <w:szCs w:val="24"/>
        </w:rPr>
        <w:t xml:space="preserve">         </w:t>
      </w:r>
      <w:r>
        <w:rPr>
          <w:rFonts w:hint="eastAsia" w:eastAsia="仿宋"/>
          <w:bCs/>
          <w:sz w:val="28"/>
          <w:szCs w:val="24"/>
        </w:rPr>
        <w:t>新增建设高标准农田项目（202</w:t>
      </w:r>
      <w:r>
        <w:rPr>
          <w:rFonts w:eastAsia="仿宋"/>
          <w:bCs/>
          <w:sz w:val="28"/>
          <w:szCs w:val="24"/>
        </w:rPr>
        <w:t>6</w:t>
      </w:r>
      <w:r>
        <w:rPr>
          <w:rFonts w:hint="eastAsia" w:eastAsia="仿宋"/>
          <w:bCs/>
          <w:sz w:val="28"/>
          <w:szCs w:val="24"/>
        </w:rPr>
        <w:t>-20</w:t>
      </w:r>
      <w:r>
        <w:rPr>
          <w:rFonts w:eastAsia="仿宋"/>
          <w:bCs/>
          <w:sz w:val="28"/>
          <w:szCs w:val="24"/>
        </w:rPr>
        <w:t>30</w:t>
      </w:r>
      <w:r>
        <w:rPr>
          <w:rFonts w:hint="eastAsia" w:eastAsia="仿宋"/>
          <w:bCs/>
          <w:sz w:val="28"/>
          <w:szCs w:val="24"/>
        </w:rPr>
        <w:t>年）规划</w:t>
      </w:r>
      <w:r>
        <w:rPr>
          <w:rFonts w:eastAsia="仿宋"/>
          <w:bCs/>
          <w:sz w:val="28"/>
          <w:szCs w:val="24"/>
        </w:rPr>
        <w:t xml:space="preserve">             </w:t>
      </w:r>
      <w:r>
        <w:rPr>
          <w:rFonts w:hint="eastAsia" w:eastAsia="仿宋"/>
          <w:bCs/>
          <w:sz w:val="28"/>
          <w:szCs w:val="24"/>
        </w:rPr>
        <w:t xml:space="preserve"> 万亩</w:t>
      </w:r>
    </w:p>
    <w:tbl>
      <w:tblPr>
        <w:tblStyle w:val="29"/>
        <w:tblW w:w="5000" w:type="pct"/>
        <w:jc w:val="center"/>
        <w:tblLayout w:type="autofit"/>
        <w:tblCellMar>
          <w:top w:w="0" w:type="dxa"/>
          <w:left w:w="108" w:type="dxa"/>
          <w:bottom w:w="0" w:type="dxa"/>
          <w:right w:w="108" w:type="dxa"/>
        </w:tblCellMar>
      </w:tblPr>
      <w:tblGrid>
        <w:gridCol w:w="2416"/>
        <w:gridCol w:w="3469"/>
        <w:gridCol w:w="1673"/>
        <w:gridCol w:w="1673"/>
      </w:tblGrid>
      <w:tr>
        <w:tblPrEx>
          <w:tblCellMar>
            <w:top w:w="0" w:type="dxa"/>
            <w:left w:w="108" w:type="dxa"/>
            <w:bottom w:w="0" w:type="dxa"/>
            <w:right w:w="108" w:type="dxa"/>
          </w:tblCellMar>
        </w:tblPrEx>
        <w:trPr>
          <w:trHeight w:val="374" w:hRule="atLeast"/>
          <w:jc w:val="center"/>
        </w:trPr>
        <w:tc>
          <w:tcPr>
            <w:tcW w:w="13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年度</w:t>
            </w:r>
          </w:p>
        </w:tc>
        <w:tc>
          <w:tcPr>
            <w:tcW w:w="187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乡镇</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面积</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小计</w:t>
            </w:r>
          </w:p>
        </w:tc>
      </w:tr>
      <w:tr>
        <w:tblPrEx>
          <w:tblCellMar>
            <w:top w:w="0" w:type="dxa"/>
            <w:left w:w="108" w:type="dxa"/>
            <w:bottom w:w="0" w:type="dxa"/>
            <w:right w:w="108" w:type="dxa"/>
          </w:tblCellMar>
        </w:tblPrEx>
        <w:trPr>
          <w:trHeight w:val="374" w:hRule="atLeast"/>
          <w:jc w:val="center"/>
        </w:trPr>
        <w:tc>
          <w:tcPr>
            <w:tcW w:w="318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合计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25</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kern w:val="0"/>
                <w:szCs w:val="28"/>
              </w:rPr>
            </w:pPr>
            <w:r>
              <w:rPr>
                <w:rFonts w:cs="Times New Roman"/>
                <w:kern w:val="0"/>
                <w:szCs w:val="28"/>
              </w:rPr>
              <w:t>25</w:t>
            </w: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2026年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胡家回族乡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1.65</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4.2</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莽卡满族乡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1.01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其塔木镇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1.54</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2027年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兴隆街道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3.5</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2028年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九郊街道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纪家街道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0.5</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兴隆街道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0.5</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2029年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波泥河街道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2030年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东湖街道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4.13</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5.8</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卡伦街道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0.43</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龙嘉堡镇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1.24</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kern w:val="0"/>
                <w:szCs w:val="28"/>
              </w:rPr>
            </w:pPr>
          </w:p>
        </w:tc>
      </w:tr>
    </w:tbl>
    <w:p>
      <w:pPr>
        <w:pStyle w:val="5"/>
      </w:pPr>
      <w:r>
        <w:rPr>
          <w:rFonts w:hint="eastAsia"/>
        </w:rPr>
        <w:t>建设重点</w:t>
      </w:r>
    </w:p>
    <w:p>
      <w:pPr>
        <w:pStyle w:val="6"/>
        <w:rPr>
          <w:rFonts w:ascii="Times New Roman" w:hAnsi="Times New Roman"/>
        </w:rPr>
      </w:pPr>
      <w:r>
        <w:rPr>
          <w:rFonts w:hint="eastAsia" w:ascii="Times New Roman" w:hAnsi="Times New Roman"/>
        </w:rPr>
        <w:t>西部冲积平原区</w:t>
      </w:r>
    </w:p>
    <w:p>
      <w:pPr>
        <w:spacing w:line="600" w:lineRule="exact"/>
        <w:ind w:firstLine="640"/>
        <w:jc w:val="both"/>
        <w:rPr>
          <w:sz w:val="32"/>
          <w:szCs w:val="32"/>
        </w:rPr>
      </w:pPr>
      <w:r>
        <w:rPr>
          <w:rFonts w:hint="eastAsia"/>
          <w:sz w:val="32"/>
          <w:szCs w:val="32"/>
        </w:rPr>
        <w:t>九台区西部、中部为冲积平原二级阶地（台地），以灰棕壤和黑土为主，本区域主要包括卡伦街道、纪家街道、东湖街道、龙嘉街道，九郊街道和苇子沟街道部分行政村。</w:t>
      </w:r>
    </w:p>
    <w:p>
      <w:pPr>
        <w:overflowPunct w:val="0"/>
        <w:topLinePunct/>
        <w:spacing w:line="600" w:lineRule="exact"/>
        <w:ind w:firstLine="640"/>
        <w:jc w:val="both"/>
        <w:rPr>
          <w:sz w:val="32"/>
          <w:szCs w:val="32"/>
        </w:rPr>
      </w:pPr>
      <w:r>
        <w:rPr>
          <w:sz w:val="32"/>
          <w:szCs w:val="32"/>
        </w:rPr>
        <w:t>主要问题</w:t>
      </w:r>
      <w:r>
        <w:rPr>
          <w:rFonts w:hint="eastAsia"/>
          <w:sz w:val="32"/>
          <w:szCs w:val="32"/>
        </w:rPr>
        <w:t>：①</w:t>
      </w:r>
      <w:bookmarkStart w:id="68" w:name="_Hlk101042726"/>
      <w:r>
        <w:rPr>
          <w:rFonts w:hint="eastAsia"/>
          <w:sz w:val="32"/>
          <w:szCs w:val="32"/>
        </w:rPr>
        <w:t>耕地多年来重用轻养，</w:t>
      </w:r>
      <w:bookmarkStart w:id="69" w:name="_Hlk101042870"/>
      <w:r>
        <w:rPr>
          <w:rFonts w:hint="eastAsia"/>
          <w:sz w:val="32"/>
          <w:szCs w:val="32"/>
        </w:rPr>
        <w:t>耕地耕层变浅等问题</w:t>
      </w:r>
      <w:bookmarkEnd w:id="69"/>
      <w:r>
        <w:rPr>
          <w:rFonts w:hint="eastAsia"/>
          <w:sz w:val="32"/>
          <w:szCs w:val="32"/>
        </w:rPr>
        <w:t>；</w:t>
      </w:r>
      <w:bookmarkEnd w:id="68"/>
      <w:r>
        <w:rPr>
          <w:rFonts w:hint="eastAsia"/>
          <w:sz w:val="32"/>
          <w:szCs w:val="32"/>
        </w:rPr>
        <w:t>②灌排配套设施不完善，桥涵数量少，标准不高，灌溉及排涝效率较低；③沟渠淤积现象较严重，引排能力下降；④农田主干道路、田间路的缺乏和建设标准低，不能适应大中型农业机械作业的需要。</w:t>
      </w:r>
    </w:p>
    <w:p>
      <w:pPr>
        <w:overflowPunct w:val="0"/>
        <w:topLinePunct/>
        <w:spacing w:line="600" w:lineRule="exact"/>
        <w:ind w:firstLine="640"/>
        <w:jc w:val="both"/>
        <w:rPr>
          <w:sz w:val="32"/>
          <w:szCs w:val="32"/>
        </w:rPr>
      </w:pPr>
      <w:r>
        <w:rPr>
          <w:rFonts w:hint="eastAsia"/>
          <w:sz w:val="32"/>
          <w:szCs w:val="32"/>
        </w:rPr>
        <w:t>建设重点：①</w:t>
      </w:r>
      <w:bookmarkStart w:id="70" w:name="OLE_LINK1"/>
      <w:r>
        <w:rPr>
          <w:rFonts w:hint="eastAsia"/>
          <w:sz w:val="32"/>
          <w:szCs w:val="32"/>
        </w:rPr>
        <w:t>秸秆还田、增施有机肥、测土配方施肥等措施，补充土壤中有机质，逐步提升耕地质量；</w:t>
      </w:r>
      <w:bookmarkEnd w:id="70"/>
      <w:r>
        <w:rPr>
          <w:rFonts w:hint="eastAsia"/>
          <w:sz w:val="32"/>
          <w:szCs w:val="32"/>
        </w:rPr>
        <w:t>②</w:t>
      </w:r>
      <w:r>
        <w:rPr>
          <w:sz w:val="32"/>
          <w:szCs w:val="32"/>
        </w:rPr>
        <w:t>加强水源工程建设及灌溉泵站的新建与改造</w:t>
      </w:r>
      <w:r>
        <w:rPr>
          <w:rFonts w:hint="eastAsia"/>
          <w:sz w:val="32"/>
          <w:szCs w:val="32"/>
        </w:rPr>
        <w:t>，因地制宜推广渠道防渗、管道输水灌溉和喷微灌等节水措施，提高农业灌溉保证率；③完善排水系统，修整新建排水网路上的配套建筑物，提高排水效率；④</w:t>
      </w:r>
      <w:r>
        <w:rPr>
          <w:rFonts w:hint="eastAsia" w:cs="宋体"/>
          <w:bCs/>
          <w:kern w:val="0"/>
          <w:sz w:val="32"/>
          <w:szCs w:val="32"/>
          <w:lang w:bidi="ar"/>
        </w:rPr>
        <w:t>实施</w:t>
      </w:r>
      <w:r>
        <w:rPr>
          <w:rFonts w:cs="宋体"/>
          <w:bCs/>
          <w:kern w:val="0"/>
          <w:sz w:val="32"/>
          <w:szCs w:val="32"/>
          <w:lang w:bidi="ar"/>
        </w:rPr>
        <w:t>农田防护和生态环境保护</w:t>
      </w:r>
      <w:r>
        <w:rPr>
          <w:sz w:val="32"/>
          <w:szCs w:val="32"/>
        </w:rPr>
        <w:t>，整治沟河水系，连通排水河道</w:t>
      </w:r>
      <w:r>
        <w:rPr>
          <w:rFonts w:hint="eastAsia"/>
          <w:sz w:val="32"/>
          <w:szCs w:val="32"/>
        </w:rPr>
        <w:t>，</w:t>
      </w:r>
      <w:r>
        <w:rPr>
          <w:sz w:val="32"/>
          <w:szCs w:val="32"/>
        </w:rPr>
        <w:t>疏浚清淤，形成水网，使排水畅通以加强水体流动</w:t>
      </w:r>
      <w:r>
        <w:rPr>
          <w:rFonts w:hint="eastAsia"/>
          <w:sz w:val="32"/>
          <w:szCs w:val="32"/>
        </w:rPr>
        <w:t>，同时进行</w:t>
      </w:r>
      <w:r>
        <w:rPr>
          <w:rFonts w:hint="eastAsia" w:cs="宋体"/>
          <w:bCs/>
          <w:kern w:val="0"/>
          <w:sz w:val="32"/>
          <w:szCs w:val="32"/>
          <w:lang w:bidi="ar"/>
        </w:rPr>
        <w:t>河道</w:t>
      </w:r>
      <w:r>
        <w:rPr>
          <w:rFonts w:cs="宋体"/>
          <w:bCs/>
          <w:kern w:val="0"/>
          <w:sz w:val="32"/>
          <w:szCs w:val="32"/>
          <w:lang w:bidi="ar"/>
        </w:rPr>
        <w:t>岸坡防护及</w:t>
      </w:r>
      <w:r>
        <w:rPr>
          <w:rFonts w:hint="eastAsia" w:cs="宋体"/>
          <w:bCs/>
          <w:kern w:val="0"/>
          <w:sz w:val="32"/>
          <w:szCs w:val="32"/>
          <w:lang w:bidi="ar"/>
        </w:rPr>
        <w:t>沟道治理</w:t>
      </w:r>
      <w:r>
        <w:rPr>
          <w:rFonts w:cs="宋体"/>
          <w:bCs/>
          <w:kern w:val="0"/>
          <w:sz w:val="32"/>
          <w:szCs w:val="32"/>
          <w:lang w:bidi="ar"/>
        </w:rPr>
        <w:t>的建设</w:t>
      </w:r>
      <w:r>
        <w:rPr>
          <w:rFonts w:hint="eastAsia"/>
          <w:sz w:val="32"/>
          <w:szCs w:val="32"/>
        </w:rPr>
        <w:t>；⑤田间路和生产路</w:t>
      </w:r>
      <w:r>
        <w:rPr>
          <w:sz w:val="32"/>
          <w:szCs w:val="32"/>
        </w:rPr>
        <w:t>主要干道硬质化</w:t>
      </w:r>
      <w:r>
        <w:rPr>
          <w:rFonts w:hint="eastAsia"/>
          <w:sz w:val="32"/>
          <w:szCs w:val="32"/>
        </w:rPr>
        <w:t>，形成路网。</w:t>
      </w:r>
    </w:p>
    <w:p>
      <w:pPr>
        <w:pStyle w:val="6"/>
        <w:rPr>
          <w:rFonts w:ascii="Times New Roman" w:hAnsi="Times New Roman"/>
        </w:rPr>
      </w:pPr>
      <w:r>
        <w:rPr>
          <w:rFonts w:hint="eastAsia" w:ascii="Times New Roman" w:hAnsi="Times New Roman"/>
        </w:rPr>
        <w:t>东部低山丘陵区</w:t>
      </w:r>
    </w:p>
    <w:p>
      <w:pPr>
        <w:spacing w:line="600" w:lineRule="exact"/>
        <w:ind w:firstLine="640"/>
        <w:jc w:val="both"/>
        <w:rPr>
          <w:sz w:val="32"/>
          <w:szCs w:val="32"/>
        </w:rPr>
      </w:pPr>
      <w:r>
        <w:rPr>
          <w:rFonts w:hint="eastAsia"/>
          <w:sz w:val="32"/>
          <w:szCs w:val="32"/>
        </w:rPr>
        <w:t>九台区山岭多分布在东南，南部、西南和东北部，以黑土，草甸土和冲积土为主，本区域主要包括土门岭街道，沐石河街道，城子街街道，上河湾镇和其塔木镇等。</w:t>
      </w:r>
    </w:p>
    <w:p>
      <w:pPr>
        <w:overflowPunct w:val="0"/>
        <w:spacing w:line="600" w:lineRule="exact"/>
        <w:ind w:firstLine="640"/>
        <w:jc w:val="both"/>
        <w:rPr>
          <w:sz w:val="32"/>
          <w:szCs w:val="32"/>
        </w:rPr>
      </w:pPr>
      <w:r>
        <w:rPr>
          <w:sz w:val="32"/>
          <w:szCs w:val="32"/>
        </w:rPr>
        <w:t>主要问题</w:t>
      </w:r>
      <w:r>
        <w:rPr>
          <w:rFonts w:hint="eastAsia"/>
          <w:sz w:val="32"/>
          <w:szCs w:val="32"/>
        </w:rPr>
        <w:t>：①土壤肥力下降、耕层变浅、水土流失问题没有得到有效治理等问题；②大中小沟淤积速度快、清淤速度相对较慢，导致排水通而不畅；③地势起伏山水汇集造成水土流失、侵蚀耕地；④农田道路配套不完善，标准低，不能适应大中型农业机械作业的需要；⑤小型农田水利工程年久失修，不能发挥效益。</w:t>
      </w:r>
    </w:p>
    <w:p>
      <w:pPr>
        <w:overflowPunct w:val="0"/>
        <w:topLinePunct/>
        <w:spacing w:line="600" w:lineRule="exact"/>
        <w:ind w:firstLine="640"/>
        <w:jc w:val="both"/>
        <w:rPr>
          <w:sz w:val="32"/>
          <w:szCs w:val="32"/>
        </w:rPr>
      </w:pPr>
      <w:r>
        <w:rPr>
          <w:rFonts w:hint="eastAsia"/>
          <w:sz w:val="32"/>
          <w:szCs w:val="32"/>
        </w:rPr>
        <w:t>建设重点：①秸秆还田、增施有机肥、测土配方施肥等措施，补充土壤中有机质，逐步提升耕地质量；②坡耕地采取</w:t>
      </w:r>
      <w:r>
        <w:rPr>
          <w:sz w:val="32"/>
          <w:szCs w:val="32"/>
        </w:rPr>
        <w:t>合理划分和适度归并田块</w:t>
      </w:r>
      <w:r>
        <w:rPr>
          <w:rFonts w:hint="eastAsia"/>
          <w:sz w:val="32"/>
          <w:szCs w:val="32"/>
        </w:rPr>
        <w:t>、等高起垄、合理修筑梯田等有利于水土保持的耕作方式；③完善排水系统，修整新建排水网路上的配套建筑物，提高排水效率；④田间路和生产路</w:t>
      </w:r>
      <w:r>
        <w:rPr>
          <w:sz w:val="32"/>
          <w:szCs w:val="32"/>
        </w:rPr>
        <w:t>主要干道硬质化</w:t>
      </w:r>
      <w:r>
        <w:rPr>
          <w:rFonts w:hint="eastAsia"/>
          <w:sz w:val="32"/>
          <w:szCs w:val="32"/>
        </w:rPr>
        <w:t>，根据所处地形地貌，优化道路结构形式，保证机耕路的实用性和耐久性；⑤结合地形地貌，</w:t>
      </w:r>
      <w:r>
        <w:rPr>
          <w:sz w:val="32"/>
          <w:szCs w:val="32"/>
        </w:rPr>
        <w:t>以</w:t>
      </w:r>
      <w:r>
        <w:rPr>
          <w:rFonts w:hint="eastAsia"/>
          <w:sz w:val="32"/>
          <w:szCs w:val="32"/>
        </w:rPr>
        <w:t>护坡挡墙</w:t>
      </w:r>
      <w:r>
        <w:rPr>
          <w:sz w:val="32"/>
          <w:szCs w:val="32"/>
        </w:rPr>
        <w:t>修整、生态修复为主</w:t>
      </w:r>
      <w:r>
        <w:rPr>
          <w:rFonts w:hint="eastAsia"/>
          <w:sz w:val="32"/>
          <w:szCs w:val="32"/>
        </w:rPr>
        <w:t>，防止水土流失；⑥增加</w:t>
      </w:r>
      <w:r>
        <w:rPr>
          <w:rFonts w:cs="宋体"/>
          <w:bCs/>
          <w:kern w:val="0"/>
          <w:sz w:val="32"/>
          <w:szCs w:val="32"/>
          <w:lang w:bidi="ar"/>
        </w:rPr>
        <w:t>侵蚀沟的治理</w:t>
      </w:r>
      <w:r>
        <w:rPr>
          <w:rFonts w:hint="eastAsia" w:cs="宋体"/>
          <w:bCs/>
          <w:kern w:val="0"/>
          <w:sz w:val="32"/>
          <w:szCs w:val="32"/>
          <w:lang w:bidi="ar"/>
        </w:rPr>
        <w:t>，以减少水土流失和保护耕地</w:t>
      </w:r>
      <w:r>
        <w:rPr>
          <w:rFonts w:hint="eastAsia"/>
          <w:sz w:val="32"/>
          <w:szCs w:val="32"/>
        </w:rPr>
        <w:t>。</w:t>
      </w:r>
    </w:p>
    <w:p>
      <w:pPr>
        <w:pStyle w:val="4"/>
      </w:pPr>
      <w:bookmarkStart w:id="71" w:name="_Toc114850794"/>
      <w:r>
        <w:rPr>
          <w:rFonts w:hint="eastAsia"/>
        </w:rPr>
        <w:t>改造提升项目</w:t>
      </w:r>
      <w:bookmarkEnd w:id="71"/>
    </w:p>
    <w:p>
      <w:pPr>
        <w:pStyle w:val="5"/>
      </w:pPr>
      <w:r>
        <w:rPr>
          <w:rFonts w:hint="eastAsia"/>
        </w:rPr>
        <w:t>建设任务</w:t>
      </w:r>
    </w:p>
    <w:p>
      <w:pPr>
        <w:spacing w:line="600" w:lineRule="exact"/>
        <w:ind w:firstLine="640"/>
        <w:jc w:val="both"/>
        <w:rPr>
          <w:sz w:val="32"/>
          <w:szCs w:val="32"/>
        </w:rPr>
      </w:pPr>
      <w:r>
        <w:rPr>
          <w:rFonts w:hint="eastAsia"/>
          <w:sz w:val="32"/>
          <w:szCs w:val="32"/>
        </w:rPr>
        <w:t>九台区规划期内改造提升的高标准农田规划总面积</w:t>
      </w:r>
      <w:r>
        <w:rPr>
          <w:sz w:val="32"/>
          <w:szCs w:val="32"/>
        </w:rPr>
        <w:t>38</w:t>
      </w:r>
      <w:r>
        <w:rPr>
          <w:rFonts w:hint="eastAsia"/>
          <w:sz w:val="32"/>
          <w:szCs w:val="32"/>
        </w:rPr>
        <w:t>万亩，其中：2023-2025年改造提升高标准农田规划面积12万亩；2026-2030年改造提升高标准农田规划面积26万亩。项目库见附表2</w:t>
      </w:r>
    </w:p>
    <w:p>
      <w:pPr>
        <w:pStyle w:val="2"/>
        <w:ind w:left="560" w:firstLine="560"/>
      </w:pPr>
    </w:p>
    <w:p>
      <w:pPr>
        <w:ind w:firstLine="560"/>
      </w:pPr>
    </w:p>
    <w:p>
      <w:pPr>
        <w:pStyle w:val="49"/>
        <w:rPr>
          <w:rFonts w:eastAsia="仿宋"/>
          <w:sz w:val="28"/>
          <w:szCs w:val="24"/>
        </w:rPr>
      </w:pPr>
      <w:r>
        <w:rPr>
          <w:rFonts w:eastAsia="仿宋"/>
          <w:sz w:val="28"/>
          <w:szCs w:val="24"/>
        </w:rPr>
        <w:t xml:space="preserve">表 </w:t>
      </w:r>
      <w:r>
        <w:rPr>
          <w:rFonts w:hint="eastAsia" w:eastAsia="仿宋"/>
          <w:sz w:val="28"/>
          <w:szCs w:val="24"/>
        </w:rPr>
        <w:t>5-</w:t>
      </w:r>
      <w:r>
        <w:rPr>
          <w:rFonts w:eastAsia="仿宋"/>
          <w:sz w:val="28"/>
          <w:szCs w:val="24"/>
        </w:rPr>
        <w:t>3</w:t>
      </w:r>
      <w:r>
        <w:rPr>
          <w:rFonts w:hint="eastAsia" w:eastAsia="仿宋"/>
          <w:sz w:val="28"/>
          <w:szCs w:val="24"/>
        </w:rPr>
        <w:t xml:space="preserve">        </w:t>
      </w:r>
      <w:r>
        <w:rPr>
          <w:rFonts w:eastAsia="仿宋"/>
          <w:sz w:val="28"/>
          <w:szCs w:val="24"/>
        </w:rPr>
        <w:t xml:space="preserve">    </w:t>
      </w:r>
      <w:r>
        <w:rPr>
          <w:rFonts w:hint="eastAsia" w:eastAsia="仿宋"/>
          <w:sz w:val="28"/>
          <w:szCs w:val="24"/>
        </w:rPr>
        <w:t xml:space="preserve">  </w:t>
      </w:r>
      <w:bookmarkStart w:id="72" w:name="_Hlk100780982"/>
      <w:r>
        <w:rPr>
          <w:rFonts w:hint="eastAsia" w:eastAsia="仿宋"/>
          <w:sz w:val="28"/>
          <w:szCs w:val="24"/>
        </w:rPr>
        <w:t xml:space="preserve">改造提升高标准农田项目（2023-2025年）规划 </w:t>
      </w:r>
      <w:bookmarkEnd w:id="72"/>
      <w:r>
        <w:rPr>
          <w:rFonts w:hint="eastAsia" w:eastAsia="仿宋"/>
          <w:sz w:val="28"/>
          <w:szCs w:val="24"/>
        </w:rPr>
        <w:t xml:space="preserve">  </w:t>
      </w:r>
      <w:r>
        <w:rPr>
          <w:rFonts w:eastAsia="仿宋"/>
          <w:sz w:val="28"/>
          <w:szCs w:val="24"/>
        </w:rPr>
        <w:t xml:space="preserve">  </w:t>
      </w:r>
      <w:r>
        <w:rPr>
          <w:rFonts w:hint="eastAsia" w:eastAsia="仿宋"/>
          <w:sz w:val="28"/>
          <w:szCs w:val="24"/>
        </w:rPr>
        <w:t xml:space="preserve">       万亩</w:t>
      </w:r>
    </w:p>
    <w:tbl>
      <w:tblPr>
        <w:tblStyle w:val="29"/>
        <w:tblW w:w="5000" w:type="pct"/>
        <w:jc w:val="center"/>
        <w:tblLayout w:type="autofit"/>
        <w:tblCellMar>
          <w:top w:w="0" w:type="dxa"/>
          <w:left w:w="108" w:type="dxa"/>
          <w:bottom w:w="0" w:type="dxa"/>
          <w:right w:w="108" w:type="dxa"/>
        </w:tblCellMar>
      </w:tblPr>
      <w:tblGrid>
        <w:gridCol w:w="2416"/>
        <w:gridCol w:w="3469"/>
        <w:gridCol w:w="1673"/>
        <w:gridCol w:w="1673"/>
      </w:tblGrid>
      <w:tr>
        <w:tblPrEx>
          <w:tblCellMar>
            <w:top w:w="0" w:type="dxa"/>
            <w:left w:w="108" w:type="dxa"/>
            <w:bottom w:w="0" w:type="dxa"/>
            <w:right w:w="108" w:type="dxa"/>
          </w:tblCellMar>
        </w:tblPrEx>
        <w:trPr>
          <w:trHeight w:val="374" w:hRule="atLeast"/>
          <w:jc w:val="center"/>
        </w:trPr>
        <w:tc>
          <w:tcPr>
            <w:tcW w:w="13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年度</w:t>
            </w:r>
          </w:p>
        </w:tc>
        <w:tc>
          <w:tcPr>
            <w:tcW w:w="187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乡镇</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面积</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小计</w:t>
            </w:r>
          </w:p>
        </w:tc>
      </w:tr>
      <w:tr>
        <w:tblPrEx>
          <w:tblCellMar>
            <w:top w:w="0" w:type="dxa"/>
            <w:left w:w="108" w:type="dxa"/>
            <w:bottom w:w="0" w:type="dxa"/>
            <w:right w:w="108" w:type="dxa"/>
          </w:tblCellMar>
        </w:tblPrEx>
        <w:trPr>
          <w:trHeight w:val="374" w:hRule="atLeast"/>
          <w:jc w:val="center"/>
        </w:trPr>
        <w:tc>
          <w:tcPr>
            <w:tcW w:w="318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合计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Cs w:val="28"/>
              </w:rPr>
            </w:pPr>
            <w:r>
              <w:rPr>
                <w:rFonts w:ascii="仿宋" w:hAnsi="仿宋" w:cs="Times New Roman"/>
                <w:kern w:val="0"/>
                <w:szCs w:val="28"/>
              </w:rPr>
              <w:t>12</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Cs w:val="28"/>
              </w:rPr>
            </w:pPr>
            <w:r>
              <w:rPr>
                <w:rFonts w:ascii="仿宋" w:hAnsi="仿宋" w:cs="Times New Roman"/>
                <w:kern w:val="0"/>
                <w:szCs w:val="28"/>
              </w:rPr>
              <w:t>12</w:t>
            </w: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2023年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波泥河街道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0.6</w:t>
            </w:r>
          </w:p>
        </w:tc>
        <w:tc>
          <w:tcPr>
            <w:tcW w:w="906" w:type="pct"/>
            <w:vMerge w:val="restart"/>
            <w:tcBorders>
              <w:top w:val="nil"/>
              <w:left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兴隆街道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0.6</w:t>
            </w:r>
          </w:p>
        </w:tc>
        <w:tc>
          <w:tcPr>
            <w:tcW w:w="906"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龙嘉堡镇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纪家街道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2</w:t>
            </w:r>
          </w:p>
        </w:tc>
        <w:tc>
          <w:tcPr>
            <w:tcW w:w="906" w:type="pct"/>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0.8</w:t>
            </w:r>
          </w:p>
        </w:tc>
        <w:tc>
          <w:tcPr>
            <w:tcW w:w="906" w:type="pct"/>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2024年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城子街街道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4</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其塔木镇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上河湾镇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2025年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其塔木镇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3</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兴隆街道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bl>
    <w:p>
      <w:pPr>
        <w:pStyle w:val="49"/>
        <w:spacing w:before="156" w:beforeLines="50"/>
        <w:rPr>
          <w:rFonts w:eastAsia="仿宋"/>
          <w:sz w:val="28"/>
          <w:szCs w:val="24"/>
        </w:rPr>
      </w:pPr>
      <w:r>
        <w:rPr>
          <w:rFonts w:eastAsia="仿宋"/>
          <w:sz w:val="28"/>
          <w:szCs w:val="24"/>
        </w:rPr>
        <w:t xml:space="preserve">表 </w:t>
      </w:r>
      <w:r>
        <w:rPr>
          <w:rFonts w:hint="eastAsia" w:eastAsia="仿宋"/>
          <w:sz w:val="28"/>
          <w:szCs w:val="24"/>
        </w:rPr>
        <w:t>5-</w:t>
      </w:r>
      <w:r>
        <w:rPr>
          <w:rFonts w:eastAsia="仿宋"/>
          <w:sz w:val="28"/>
          <w:szCs w:val="24"/>
        </w:rPr>
        <w:t>4</w:t>
      </w:r>
      <w:r>
        <w:rPr>
          <w:rFonts w:hint="eastAsia" w:eastAsia="仿宋"/>
          <w:sz w:val="28"/>
          <w:szCs w:val="24"/>
        </w:rPr>
        <w:t xml:space="preserve">      </w:t>
      </w:r>
      <w:r>
        <w:rPr>
          <w:rFonts w:eastAsia="仿宋"/>
          <w:sz w:val="28"/>
          <w:szCs w:val="24"/>
        </w:rPr>
        <w:t xml:space="preserve">        </w:t>
      </w:r>
      <w:r>
        <w:rPr>
          <w:rFonts w:hint="eastAsia" w:eastAsia="仿宋"/>
          <w:sz w:val="28"/>
          <w:szCs w:val="24"/>
        </w:rPr>
        <w:t xml:space="preserve">改造提升高标准农田项目（2026-2030年）规划  </w:t>
      </w:r>
      <w:r>
        <w:rPr>
          <w:rFonts w:eastAsia="仿宋"/>
          <w:sz w:val="28"/>
          <w:szCs w:val="24"/>
        </w:rPr>
        <w:t xml:space="preserve"> </w:t>
      </w:r>
      <w:r>
        <w:rPr>
          <w:rFonts w:hint="eastAsia" w:eastAsia="仿宋"/>
          <w:sz w:val="28"/>
          <w:szCs w:val="24"/>
        </w:rPr>
        <w:t xml:space="preserve"> </w:t>
      </w:r>
      <w:r>
        <w:rPr>
          <w:rFonts w:eastAsia="仿宋"/>
          <w:sz w:val="28"/>
          <w:szCs w:val="24"/>
        </w:rPr>
        <w:t xml:space="preserve">    </w:t>
      </w:r>
      <w:r>
        <w:rPr>
          <w:rFonts w:hint="eastAsia" w:eastAsia="仿宋"/>
          <w:sz w:val="28"/>
          <w:szCs w:val="24"/>
        </w:rPr>
        <w:t xml:space="preserve"> </w:t>
      </w:r>
      <w:r>
        <w:rPr>
          <w:rFonts w:eastAsia="仿宋"/>
          <w:sz w:val="28"/>
          <w:szCs w:val="24"/>
        </w:rPr>
        <w:t xml:space="preserve">    </w:t>
      </w:r>
      <w:r>
        <w:rPr>
          <w:rFonts w:hint="eastAsia" w:eastAsia="仿宋"/>
          <w:sz w:val="28"/>
          <w:szCs w:val="24"/>
        </w:rPr>
        <w:t>万亩</w:t>
      </w:r>
    </w:p>
    <w:tbl>
      <w:tblPr>
        <w:tblStyle w:val="29"/>
        <w:tblW w:w="5000" w:type="pct"/>
        <w:jc w:val="center"/>
        <w:tblLayout w:type="autofit"/>
        <w:tblCellMar>
          <w:top w:w="0" w:type="dxa"/>
          <w:left w:w="108" w:type="dxa"/>
          <w:bottom w:w="0" w:type="dxa"/>
          <w:right w:w="108" w:type="dxa"/>
        </w:tblCellMar>
      </w:tblPr>
      <w:tblGrid>
        <w:gridCol w:w="2416"/>
        <w:gridCol w:w="3469"/>
        <w:gridCol w:w="1673"/>
        <w:gridCol w:w="1673"/>
      </w:tblGrid>
      <w:tr>
        <w:tblPrEx>
          <w:tblCellMar>
            <w:top w:w="0" w:type="dxa"/>
            <w:left w:w="108" w:type="dxa"/>
            <w:bottom w:w="0" w:type="dxa"/>
            <w:right w:w="108" w:type="dxa"/>
          </w:tblCellMar>
        </w:tblPrEx>
        <w:trPr>
          <w:trHeight w:val="374" w:hRule="atLeast"/>
          <w:jc w:val="center"/>
        </w:trPr>
        <w:tc>
          <w:tcPr>
            <w:tcW w:w="13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年度</w:t>
            </w:r>
          </w:p>
        </w:tc>
        <w:tc>
          <w:tcPr>
            <w:tcW w:w="187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乡镇</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面积</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小计</w:t>
            </w:r>
          </w:p>
        </w:tc>
      </w:tr>
      <w:tr>
        <w:tblPrEx>
          <w:tblCellMar>
            <w:top w:w="0" w:type="dxa"/>
            <w:left w:w="108" w:type="dxa"/>
            <w:bottom w:w="0" w:type="dxa"/>
            <w:right w:w="108" w:type="dxa"/>
          </w:tblCellMar>
        </w:tblPrEx>
        <w:trPr>
          <w:trHeight w:val="374" w:hRule="atLeast"/>
          <w:jc w:val="center"/>
        </w:trPr>
        <w:tc>
          <w:tcPr>
            <w:tcW w:w="318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合计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Cs w:val="28"/>
              </w:rPr>
            </w:pPr>
            <w:r>
              <w:rPr>
                <w:rFonts w:ascii="仿宋" w:hAnsi="仿宋" w:cs="Times New Roman"/>
                <w:kern w:val="0"/>
                <w:szCs w:val="28"/>
              </w:rPr>
              <w:t>26</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Cs w:val="28"/>
              </w:rPr>
            </w:pPr>
            <w:r>
              <w:rPr>
                <w:rFonts w:ascii="仿宋" w:hAnsi="仿宋" w:cs="Times New Roman"/>
                <w:kern w:val="0"/>
                <w:szCs w:val="28"/>
              </w:rPr>
              <w:t>26</w:t>
            </w:r>
          </w:p>
        </w:tc>
      </w:tr>
      <w:tr>
        <w:tblPrEx>
          <w:tblCellMar>
            <w:top w:w="0" w:type="dxa"/>
            <w:left w:w="108" w:type="dxa"/>
            <w:bottom w:w="0" w:type="dxa"/>
            <w:right w:w="108" w:type="dxa"/>
          </w:tblCellMar>
        </w:tblPrEx>
        <w:trPr>
          <w:trHeight w:val="374" w:hRule="atLeast"/>
          <w:jc w:val="center"/>
        </w:trPr>
        <w:tc>
          <w:tcPr>
            <w:tcW w:w="1309"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2026年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其塔木镇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2027年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莽卡满族乡</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3.8</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其塔木镇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1.2</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2028年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纪家街道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2029年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苇子沟街道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4</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5</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营城子街道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1</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2030年</w:t>
            </w: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纪家街道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0.45</w:t>
            </w:r>
          </w:p>
        </w:tc>
        <w:tc>
          <w:tcPr>
            <w:tcW w:w="90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6</w:t>
            </w: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九郊街道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2.6</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龙嘉堡镇</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2.4</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r>
        <w:tblPrEx>
          <w:tblCellMar>
            <w:top w:w="0" w:type="dxa"/>
            <w:left w:w="108" w:type="dxa"/>
            <w:bottom w:w="0" w:type="dxa"/>
            <w:right w:w="108" w:type="dxa"/>
          </w:tblCellMar>
        </w:tblPrEx>
        <w:trPr>
          <w:trHeight w:val="374" w:hRule="atLeast"/>
          <w:jc w:val="center"/>
        </w:trPr>
        <w:tc>
          <w:tcPr>
            <w:tcW w:w="1309"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c>
          <w:tcPr>
            <w:tcW w:w="187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兴隆街道</w:t>
            </w:r>
          </w:p>
        </w:tc>
        <w:tc>
          <w:tcPr>
            <w:tcW w:w="90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0.55</w:t>
            </w:r>
          </w:p>
        </w:tc>
        <w:tc>
          <w:tcPr>
            <w:tcW w:w="906"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Cs w:val="28"/>
              </w:rPr>
            </w:pPr>
          </w:p>
        </w:tc>
      </w:tr>
    </w:tbl>
    <w:p>
      <w:pPr>
        <w:pStyle w:val="5"/>
      </w:pPr>
      <w:r>
        <w:rPr>
          <w:rFonts w:hint="eastAsia"/>
        </w:rPr>
        <w:t>建设重点</w:t>
      </w:r>
    </w:p>
    <w:p>
      <w:pPr>
        <w:pStyle w:val="6"/>
        <w:rPr>
          <w:rFonts w:ascii="Times New Roman" w:hAnsi="Times New Roman"/>
        </w:rPr>
      </w:pPr>
      <w:r>
        <w:rPr>
          <w:rFonts w:hint="eastAsia" w:ascii="Times New Roman" w:hAnsi="Times New Roman"/>
        </w:rPr>
        <w:t>西部冲积平原区</w:t>
      </w:r>
    </w:p>
    <w:p>
      <w:pPr>
        <w:spacing w:line="600" w:lineRule="exact"/>
        <w:ind w:firstLine="640"/>
        <w:jc w:val="both"/>
        <w:rPr>
          <w:sz w:val="32"/>
          <w:szCs w:val="32"/>
        </w:rPr>
      </w:pPr>
      <w:r>
        <w:rPr>
          <w:rFonts w:hint="eastAsia"/>
          <w:sz w:val="32"/>
          <w:szCs w:val="32"/>
        </w:rPr>
        <w:t>九台区西部、中部为冲积平原二级阶地（台地），以灰棕壤和黑土为主，本区域主要包括卡伦街道、纪家街道、东湖街道、龙嘉街道，九郊街道和苇子沟街道部分行政村。</w:t>
      </w:r>
    </w:p>
    <w:p>
      <w:pPr>
        <w:spacing w:line="600" w:lineRule="exact"/>
        <w:ind w:firstLine="640"/>
        <w:jc w:val="both"/>
        <w:rPr>
          <w:sz w:val="32"/>
          <w:szCs w:val="32"/>
        </w:rPr>
      </w:pPr>
      <w:r>
        <w:rPr>
          <w:sz w:val="32"/>
          <w:szCs w:val="32"/>
        </w:rPr>
        <w:t>主要问题</w:t>
      </w:r>
      <w:r>
        <w:rPr>
          <w:rFonts w:hint="eastAsia"/>
          <w:sz w:val="32"/>
          <w:szCs w:val="32"/>
        </w:rPr>
        <w:t>：</w:t>
      </w:r>
      <w:bookmarkStart w:id="73" w:name="_Hlk101043380"/>
      <w:r>
        <w:rPr>
          <w:rFonts w:hint="eastAsia"/>
          <w:sz w:val="32"/>
          <w:szCs w:val="32"/>
        </w:rPr>
        <w:t>①耕地多年来重用轻养，耕地耕层变浅等问题；②灌排配套设施破损严重，桥涵数量不能满足生产需求，已建工程标准不高，灌溉及排涝效率较低；③沟渠淤积现象较严重，引排能力下降；④农田主干道路与田间路的缺乏和建设标准低，不能满足现在大中型农业机械作业的需要。</w:t>
      </w:r>
      <w:bookmarkEnd w:id="73"/>
    </w:p>
    <w:p>
      <w:pPr>
        <w:spacing w:line="600" w:lineRule="exact"/>
        <w:ind w:firstLine="640"/>
        <w:jc w:val="both"/>
      </w:pPr>
      <w:r>
        <w:rPr>
          <w:rFonts w:hint="eastAsia"/>
          <w:sz w:val="32"/>
          <w:szCs w:val="32"/>
        </w:rPr>
        <w:t>建设重点：①秸秆还田、增施有机肥、测土配方施肥等措施，补充土壤中有机质，逐步提升耕地质量；②</w:t>
      </w:r>
      <w:r>
        <w:rPr>
          <w:sz w:val="32"/>
          <w:szCs w:val="32"/>
        </w:rPr>
        <w:t>加强水源工程建设及灌溉泵站的新建与改造</w:t>
      </w:r>
      <w:r>
        <w:rPr>
          <w:rFonts w:hint="eastAsia"/>
          <w:sz w:val="32"/>
          <w:szCs w:val="32"/>
        </w:rPr>
        <w:t>，因地制宜推广渠道防渗、管道输水灌溉和喷微灌等节水措施，提高农业灌溉保证率；③灌排系统充分利用现有水利工程设施，修缮已建工程为主，新建为辅，完善田间水网，满足高标准农田建设需求，</w:t>
      </w:r>
      <w:r>
        <w:rPr>
          <w:sz w:val="32"/>
          <w:szCs w:val="32"/>
        </w:rPr>
        <w:t>疏浚清淤，使排水畅通以加强水体流动</w:t>
      </w:r>
      <w:r>
        <w:rPr>
          <w:rFonts w:hint="eastAsia"/>
          <w:sz w:val="32"/>
          <w:szCs w:val="32"/>
        </w:rPr>
        <w:t>；④机耕路、田间路修缮已建工程为主，新建为辅，田间道路满足大型机械作业要求，改善原有路网；⑤</w:t>
      </w:r>
      <w:r>
        <w:rPr>
          <w:sz w:val="32"/>
          <w:szCs w:val="32"/>
        </w:rPr>
        <w:t>林网建设应与田块、沟渠、道路等工程结合，兼顾生态和景观要求，结合立地条件、水源条件、交通状况等确定林网树种</w:t>
      </w:r>
      <w:r>
        <w:rPr>
          <w:rFonts w:hint="eastAsia"/>
          <w:sz w:val="32"/>
          <w:szCs w:val="32"/>
        </w:rPr>
        <w:t>。</w:t>
      </w:r>
    </w:p>
    <w:p>
      <w:pPr>
        <w:pStyle w:val="6"/>
        <w:rPr>
          <w:rFonts w:ascii="Times New Roman" w:hAnsi="Times New Roman"/>
        </w:rPr>
      </w:pPr>
      <w:r>
        <w:rPr>
          <w:rFonts w:hint="eastAsia" w:ascii="Times New Roman" w:hAnsi="Times New Roman"/>
        </w:rPr>
        <w:t>东部低山丘陵区</w:t>
      </w:r>
    </w:p>
    <w:p>
      <w:pPr>
        <w:spacing w:line="600" w:lineRule="exact"/>
        <w:ind w:firstLine="640"/>
        <w:jc w:val="both"/>
        <w:rPr>
          <w:sz w:val="32"/>
          <w:szCs w:val="32"/>
        </w:rPr>
      </w:pPr>
      <w:r>
        <w:rPr>
          <w:rFonts w:hint="eastAsia"/>
          <w:sz w:val="32"/>
          <w:szCs w:val="32"/>
        </w:rPr>
        <w:t>九台区山岭多分布在东南，南部、西南和东北部，以黑土，草甸土和冲积土为主，本区域主要包括土门岭街道，沐石河街道，城子街街道，上河湾镇和其塔木镇等。</w:t>
      </w:r>
    </w:p>
    <w:p>
      <w:pPr>
        <w:overflowPunct w:val="0"/>
        <w:topLinePunct/>
        <w:spacing w:line="600" w:lineRule="exact"/>
        <w:ind w:firstLine="640"/>
        <w:jc w:val="both"/>
        <w:rPr>
          <w:sz w:val="32"/>
          <w:szCs w:val="32"/>
        </w:rPr>
      </w:pPr>
      <w:bookmarkStart w:id="74" w:name="_Hlk101043550"/>
      <w:r>
        <w:rPr>
          <w:sz w:val="32"/>
          <w:szCs w:val="32"/>
        </w:rPr>
        <w:t>主要问题</w:t>
      </w:r>
      <w:r>
        <w:rPr>
          <w:rFonts w:hint="eastAsia"/>
          <w:sz w:val="32"/>
          <w:szCs w:val="32"/>
        </w:rPr>
        <w:t>：①土壤肥力下降、耕层变浅、防治水土流失工程缺失和损坏等问题；②大中小沟淤积速度快、清淤速度相对较慢，导致排水通而不畅；③地势起伏山水汇集造成水土流失、侵蚀耕地；④农田道路配套不完善，标准低，不能适应大中型农业机械作业的需要；⑤小型农田水利工程年久失修，不能发挥效益；⑥林网修整不及时，植被破坏严重。</w:t>
      </w:r>
    </w:p>
    <w:bookmarkEnd w:id="74"/>
    <w:p>
      <w:pPr>
        <w:spacing w:line="600" w:lineRule="exact"/>
        <w:ind w:firstLine="640"/>
        <w:jc w:val="both"/>
        <w:rPr>
          <w:sz w:val="32"/>
          <w:szCs w:val="32"/>
        </w:rPr>
      </w:pPr>
      <w:r>
        <w:rPr>
          <w:rFonts w:hint="eastAsia"/>
          <w:sz w:val="32"/>
          <w:szCs w:val="32"/>
        </w:rPr>
        <w:t>建设重点：①秸秆还田、增施有机肥、测土配方施肥等措施，补充土壤中有机质，逐步提升耕地质量；②灌排系统修缮已建工程为主，新建为辅，满足高标准农田建设需求，</w:t>
      </w:r>
      <w:r>
        <w:rPr>
          <w:sz w:val="32"/>
          <w:szCs w:val="32"/>
        </w:rPr>
        <w:t>疏浚清淤，使排水畅通以加强水体流动</w:t>
      </w:r>
      <w:r>
        <w:rPr>
          <w:rFonts w:hint="eastAsia"/>
          <w:sz w:val="32"/>
          <w:szCs w:val="32"/>
        </w:rPr>
        <w:t>；③机耕路、田间路修缮已建工程为主，新建为辅，根据所处地形地貌，优化道路结构形式，保证机耕路的实用性和耐久性；④</w:t>
      </w:r>
      <w:r>
        <w:rPr>
          <w:sz w:val="32"/>
          <w:szCs w:val="32"/>
        </w:rPr>
        <w:t>林网建设应与田块、沟渠、道路等工程结合，兼顾生态和景观要求，结合立地条件、水源条件、交通状况等确定林网树种</w:t>
      </w:r>
      <w:r>
        <w:rPr>
          <w:rFonts w:hint="eastAsia"/>
          <w:sz w:val="32"/>
          <w:szCs w:val="32"/>
        </w:rPr>
        <w:t>；⑤结合地形地貌，</w:t>
      </w:r>
      <w:r>
        <w:rPr>
          <w:sz w:val="32"/>
          <w:szCs w:val="32"/>
        </w:rPr>
        <w:t>以</w:t>
      </w:r>
      <w:r>
        <w:rPr>
          <w:rFonts w:hint="eastAsia"/>
          <w:sz w:val="32"/>
          <w:szCs w:val="32"/>
        </w:rPr>
        <w:t>护坡挡墙</w:t>
      </w:r>
      <w:r>
        <w:rPr>
          <w:sz w:val="32"/>
          <w:szCs w:val="32"/>
        </w:rPr>
        <w:t>修整、生态修复为主</w:t>
      </w:r>
      <w:r>
        <w:rPr>
          <w:rFonts w:hint="eastAsia"/>
          <w:sz w:val="32"/>
          <w:szCs w:val="32"/>
        </w:rPr>
        <w:t>，防止水土流失；⑥增加</w:t>
      </w:r>
      <w:r>
        <w:rPr>
          <w:rFonts w:cs="宋体"/>
          <w:bCs/>
          <w:kern w:val="0"/>
          <w:sz w:val="32"/>
          <w:szCs w:val="32"/>
          <w:lang w:bidi="ar"/>
        </w:rPr>
        <w:t>侵蚀沟的治理</w:t>
      </w:r>
      <w:r>
        <w:rPr>
          <w:rFonts w:hint="eastAsia" w:cs="宋体"/>
          <w:bCs/>
          <w:kern w:val="0"/>
          <w:sz w:val="32"/>
          <w:szCs w:val="32"/>
          <w:lang w:bidi="ar"/>
        </w:rPr>
        <w:t>，以减少水土流失和保护耕地</w:t>
      </w:r>
      <w:r>
        <w:rPr>
          <w:rFonts w:hint="eastAsia"/>
          <w:sz w:val="32"/>
          <w:szCs w:val="32"/>
        </w:rPr>
        <w:t>。</w:t>
      </w:r>
    </w:p>
    <w:p>
      <w:pPr>
        <w:pStyle w:val="4"/>
      </w:pPr>
      <w:bookmarkStart w:id="75" w:name="_Toc114850795"/>
      <w:r>
        <w:rPr>
          <w:rFonts w:hint="eastAsia"/>
        </w:rPr>
        <w:t>黑土地保护建设项目</w:t>
      </w:r>
      <w:bookmarkEnd w:id="75"/>
    </w:p>
    <w:p>
      <w:pPr>
        <w:overflowPunct w:val="0"/>
        <w:topLinePunct/>
        <w:spacing w:line="600" w:lineRule="exact"/>
        <w:ind w:firstLine="640"/>
        <w:jc w:val="both"/>
        <w:rPr>
          <w:sz w:val="32"/>
          <w:szCs w:val="32"/>
        </w:rPr>
      </w:pPr>
      <w:r>
        <w:rPr>
          <w:rFonts w:hint="eastAsia"/>
          <w:sz w:val="32"/>
          <w:szCs w:val="32"/>
        </w:rPr>
        <w:t>深入贯彻习近平总书记关于采取有效措施，切实把黑土地这一“耕地中的大熊猫”保护好、利用好的重要指示精神，全面落实省委十一届九次全会精神。坚定不移贯彻新发展理念，深入实施“藏粮于地、藏粮于技”战略，以保障粮食产能、恢复耕地地力，促进黑土耕地资源持续利用为核心，以治理黑土耕地“薄、瘦、硬”问题为导向，以提质增肥为主攻方向，以防治技耕地水土流失、治理侵蚀沟、完善农田基础设施、培育肥沃耕作层、加强黑土耕地质量监测评价为重点，以优化耕作制度为基础，坚持统筹工程、农艺措施综合治理，形成黑土地在利用中保护、以保护促利用的可持续发展新格局，务实国家粮食安全基础。</w:t>
      </w:r>
    </w:p>
    <w:p>
      <w:pPr>
        <w:pStyle w:val="5"/>
      </w:pPr>
      <w:r>
        <w:rPr>
          <w:rFonts w:hint="eastAsia"/>
        </w:rPr>
        <w:t>实施内容</w:t>
      </w:r>
    </w:p>
    <w:p>
      <w:pPr>
        <w:overflowPunct w:val="0"/>
        <w:topLinePunct/>
        <w:spacing w:line="600" w:lineRule="exact"/>
        <w:ind w:firstLine="640"/>
        <w:jc w:val="both"/>
        <w:rPr>
          <w:sz w:val="32"/>
          <w:szCs w:val="32"/>
        </w:rPr>
      </w:pPr>
      <w:r>
        <w:rPr>
          <w:rFonts w:hint="eastAsia"/>
          <w:sz w:val="32"/>
          <w:szCs w:val="32"/>
        </w:rPr>
        <w:t>（1）突出抓好秸秆还田。对保护性耕作农机具优先补贴，积极建设高标准示范应用基地。因地制宜推广应用秸秆深翻还田，优化耕作制度，适宜地区改春整地为秋整地，在旱地采取秋季收获后实施秸秆机械粉碎翻压或碎混还田，水田采取秋季收获时直接秸秆粉碎翻埋还田。</w:t>
      </w:r>
    </w:p>
    <w:p>
      <w:pPr>
        <w:overflowPunct w:val="0"/>
        <w:topLinePunct/>
        <w:spacing w:line="600" w:lineRule="exact"/>
        <w:ind w:firstLine="640"/>
        <w:jc w:val="both"/>
        <w:rPr>
          <w:sz w:val="32"/>
          <w:szCs w:val="32"/>
        </w:rPr>
      </w:pPr>
      <w:r>
        <w:rPr>
          <w:rFonts w:hint="eastAsia"/>
          <w:sz w:val="32"/>
          <w:szCs w:val="32"/>
        </w:rPr>
        <w:t>（2）稳步实施有机肥施用。探索有机肥（农家肥）施用补贴政策机制，重点实施“有机肥+深翻还田”为主的综合技术模式，将有机肥田间贮存和堆沤用地接设施农业用地管理。鼓励新型农业经营主体发展种养循环农业，开展畜禽粪便、作物秸秆等堆沮腐熟和就地就近施用。探索有机肥与微生物肥料配合施用，提高土壤肥力。</w:t>
      </w:r>
    </w:p>
    <w:p>
      <w:pPr>
        <w:overflowPunct w:val="0"/>
        <w:topLinePunct/>
        <w:spacing w:line="600" w:lineRule="exact"/>
        <w:ind w:firstLine="640"/>
        <w:jc w:val="both"/>
        <w:rPr>
          <w:sz w:val="32"/>
          <w:szCs w:val="32"/>
        </w:rPr>
      </w:pPr>
      <w:r>
        <w:rPr>
          <w:rFonts w:hint="eastAsia"/>
          <w:sz w:val="32"/>
          <w:szCs w:val="32"/>
        </w:rPr>
        <w:t>（3）大力开展高标准农田建设。突出“田、土、水、路、林、电、技、管”综合配套，重点实施农田土地平整、田间机耕路、灌排渠道、岸坡防护、沟道治理、农田电网等综合设施建设。加快高标准农田示范区建设，打造一批高产稳产、绿色生态、适宜全程机械化作业、集中连片的高标准农田示范样板。</w:t>
      </w:r>
    </w:p>
    <w:p>
      <w:pPr>
        <w:overflowPunct w:val="0"/>
        <w:topLinePunct/>
        <w:spacing w:line="600" w:lineRule="exact"/>
        <w:ind w:firstLine="640"/>
        <w:jc w:val="both"/>
        <w:rPr>
          <w:sz w:val="32"/>
          <w:szCs w:val="32"/>
        </w:rPr>
      </w:pPr>
      <w:r>
        <w:rPr>
          <w:rFonts w:hint="eastAsia"/>
          <w:sz w:val="32"/>
          <w:szCs w:val="32"/>
        </w:rPr>
        <w:t>（4）持续强化农田水土保持。开展侵蚀沟综合治理，采取修建谷坊、沟头防护、截水沟、沟道滩岸防护、支毛沟治理及相关林草措施，遏制侵蚀沟道发展。开展坡耕地综合治理，重点推行“二改一修”建设，对坡度</w:t>
      </w:r>
      <w:r>
        <w:rPr>
          <w:sz w:val="32"/>
          <w:szCs w:val="32"/>
        </w:rPr>
        <w:t>6</w:t>
      </w:r>
      <w:r>
        <w:rPr>
          <w:rFonts w:hint="eastAsia"/>
          <w:sz w:val="32"/>
          <w:szCs w:val="32"/>
        </w:rPr>
        <w:t>度以下漫川漫岗耕地推行保土耕作和等高改垄，种植地埂生物篱带；对坡度</w:t>
      </w:r>
      <w:r>
        <w:rPr>
          <w:sz w:val="32"/>
          <w:szCs w:val="32"/>
        </w:rPr>
        <w:t>6</w:t>
      </w:r>
      <w:r>
        <w:rPr>
          <w:rFonts w:hint="eastAsia"/>
          <w:sz w:val="32"/>
          <w:szCs w:val="32"/>
        </w:rPr>
        <w:t>度以上坡地区域，修筑等高</w:t>
      </w:r>
      <w:r>
        <w:rPr>
          <w:sz w:val="32"/>
          <w:szCs w:val="32"/>
        </w:rPr>
        <w:t>U</w:t>
      </w:r>
      <w:r>
        <w:rPr>
          <w:rFonts w:hint="eastAsia"/>
          <w:sz w:val="32"/>
          <w:szCs w:val="32"/>
        </w:rPr>
        <w:t>型沟，种植灌木防冲带；对沟毁耕地实施“一修”修筑渗井、秸秆填埋沟道、上层覆土，恢复垦殖。</w:t>
      </w:r>
    </w:p>
    <w:p>
      <w:pPr>
        <w:overflowPunct w:val="0"/>
        <w:topLinePunct/>
        <w:spacing w:line="600" w:lineRule="exact"/>
        <w:ind w:firstLine="640"/>
        <w:jc w:val="both"/>
        <w:rPr>
          <w:sz w:val="32"/>
          <w:szCs w:val="32"/>
        </w:rPr>
      </w:pPr>
      <w:r>
        <w:rPr>
          <w:rFonts w:hint="eastAsia"/>
          <w:sz w:val="32"/>
          <w:szCs w:val="32"/>
        </w:rPr>
        <w:t>（</w:t>
      </w:r>
      <w:r>
        <w:rPr>
          <w:sz w:val="32"/>
          <w:szCs w:val="32"/>
        </w:rPr>
        <w:t>5</w:t>
      </w:r>
      <w:r>
        <w:rPr>
          <w:rFonts w:hint="eastAsia"/>
          <w:sz w:val="32"/>
          <w:szCs w:val="32"/>
        </w:rPr>
        <w:t>）积极抓好农田环境治理。全面实施测土配方施肥，每年采集测试土壤样本。大力推进专业化统防统治和绿色防控，推广生物防治、物理防治、健康栽培等绿色防控技术及高效低风险农药。</w:t>
      </w:r>
    </w:p>
    <w:p>
      <w:pPr>
        <w:overflowPunct w:val="0"/>
        <w:topLinePunct/>
        <w:spacing w:line="600" w:lineRule="exact"/>
        <w:ind w:firstLine="640"/>
        <w:jc w:val="both"/>
        <w:rPr>
          <w:sz w:val="32"/>
          <w:szCs w:val="32"/>
        </w:rPr>
      </w:pPr>
      <w:r>
        <w:rPr>
          <w:rFonts w:hint="eastAsia"/>
          <w:sz w:val="32"/>
          <w:szCs w:val="32"/>
        </w:rPr>
        <w:t>（6）加快完善农田防护林建设。在不违规占用现有耕地前提下，深入实施农田防护林网修复完善工程。对防护功能低下的退化防护林带进行修复改造，逐步提高质量，增强防护效能。对生理成过熟林带进行采伐更新，建设新一代防护林，调整优化防护林网结构，形成完备的农田防护林体系。</w:t>
      </w:r>
    </w:p>
    <w:p>
      <w:pPr>
        <w:overflowPunct w:val="0"/>
        <w:topLinePunct/>
        <w:spacing w:line="600" w:lineRule="exact"/>
        <w:ind w:firstLine="640"/>
        <w:jc w:val="both"/>
        <w:rPr>
          <w:sz w:val="32"/>
          <w:szCs w:val="32"/>
        </w:rPr>
      </w:pPr>
      <w:r>
        <w:rPr>
          <w:rFonts w:hint="eastAsia"/>
          <w:sz w:val="32"/>
          <w:szCs w:val="32"/>
        </w:rPr>
        <w:t>（7）着力加强耕地质量监测。加快构建成熟、完善的耕地质量监测评价体系。建立健全耕地质量长期定位监测点和调查点，依托科研教学单位，分类型建立黑土地保护利用长期监测研究站。探索利用地理信息系统、空间定位技术和遥感技术等现代化手段，构建多源数据监测体系，针对耕地质量稳定性指标、易变性指标，科学分析耕地质量变化趋势。探索建立黑土地保护工程实施效果第三方评价机制，对项目区开展执行期和任务完成时的数量和质量评价，监测工程实施效果。</w:t>
      </w:r>
    </w:p>
    <w:p>
      <w:pPr>
        <w:pStyle w:val="5"/>
      </w:pPr>
      <w:r>
        <w:rPr>
          <w:rFonts w:hint="eastAsia"/>
        </w:rPr>
        <w:t>预期效果</w:t>
      </w:r>
    </w:p>
    <w:p>
      <w:pPr>
        <w:spacing w:line="600" w:lineRule="exact"/>
        <w:ind w:firstLine="640"/>
        <w:jc w:val="both"/>
        <w:rPr>
          <w:sz w:val="32"/>
          <w:szCs w:val="32"/>
        </w:rPr>
      </w:pPr>
      <w:r>
        <w:rPr>
          <w:rFonts w:hint="eastAsia"/>
          <w:sz w:val="32"/>
          <w:szCs w:val="32"/>
        </w:rPr>
        <w:t>实施</w:t>
      </w:r>
      <w:r>
        <w:rPr>
          <w:sz w:val="32"/>
          <w:szCs w:val="32"/>
        </w:rPr>
        <w:t>黑土地保护工程，</w:t>
      </w:r>
      <w:r>
        <w:rPr>
          <w:rFonts w:hint="eastAsia"/>
          <w:sz w:val="32"/>
          <w:szCs w:val="32"/>
        </w:rPr>
        <w:t>坚持保护优先、推动工程与生物、农机与农艺、用地与养地相结合，逐步改善黑土地耕地内在质量、设施条件和生态环境，通过增施有机肥、秸秆还田、加强坡耕地与风蚀沙化土地综合防护与治理，推广节水技术，开展保护性耕作技术创新与集成示范，推行粮豆轮作，推进农牧结合等措施，加快保护修复黑土地生态环境，提升粮食综合生产能力。实现黑土地永续利用，夯实国家粮食安全基础，为全面推进乡村振兴提供有力支撑。</w:t>
      </w:r>
    </w:p>
    <w:p>
      <w:pPr>
        <w:pStyle w:val="4"/>
      </w:pPr>
      <w:bookmarkStart w:id="76" w:name="_Toc114850796"/>
      <w:r>
        <w:rPr>
          <w:rFonts w:hint="eastAsia"/>
        </w:rPr>
        <w:t>高标准农田示范区建设项目</w:t>
      </w:r>
      <w:bookmarkEnd w:id="76"/>
    </w:p>
    <w:p>
      <w:pPr>
        <w:overflowPunct w:val="0"/>
        <w:topLinePunct/>
        <w:spacing w:line="600" w:lineRule="exact"/>
        <w:ind w:firstLine="640"/>
        <w:jc w:val="both"/>
        <w:rPr>
          <w:sz w:val="32"/>
          <w:szCs w:val="32"/>
        </w:rPr>
      </w:pPr>
      <w:r>
        <w:rPr>
          <w:rFonts w:hint="eastAsia"/>
          <w:sz w:val="32"/>
          <w:szCs w:val="32"/>
        </w:rPr>
        <w:t>为深入贯彻习近平总书记关于加强高标准农田建设的重要讲话重要指示精神，按照省委办公厅、省政府办公厅《关于扛稳维护国家粮食安全责任加强粮食生产的若干措施》要求，紧紧围绕实施乡村振兴战略，着眼农业高质量发展，深入实施“藏粮于地、藏粮于技”，在我区高起点、高标准和高水平地建设一批高标准农田示范区，发挥典型示范和辐射带动作用，引领全区高标准农田建设提档升级。</w:t>
      </w:r>
    </w:p>
    <w:p>
      <w:pPr>
        <w:pStyle w:val="5"/>
      </w:pPr>
      <w:r>
        <w:rPr>
          <w:rFonts w:hint="eastAsia"/>
        </w:rPr>
        <w:t>实施内容</w:t>
      </w:r>
    </w:p>
    <w:p>
      <w:pPr>
        <w:overflowPunct w:val="0"/>
        <w:topLinePunct/>
        <w:spacing w:line="600" w:lineRule="exact"/>
        <w:ind w:firstLine="640"/>
        <w:jc w:val="both"/>
        <w:rPr>
          <w:sz w:val="32"/>
          <w:szCs w:val="32"/>
        </w:rPr>
      </w:pPr>
      <w:r>
        <w:rPr>
          <w:rFonts w:hint="eastAsia"/>
          <w:sz w:val="32"/>
          <w:szCs w:val="32"/>
        </w:rPr>
        <w:t>根据国家及省市关于加强高标准农田建设的重要指示精神，九台区结合自身条件，充分考虑各项指标，通过总结以下几个特点，推动示范区建设。</w:t>
      </w:r>
    </w:p>
    <w:p>
      <w:pPr>
        <w:overflowPunct w:val="0"/>
        <w:topLinePunct/>
        <w:spacing w:line="600" w:lineRule="exact"/>
        <w:ind w:firstLine="640"/>
        <w:jc w:val="both"/>
        <w:rPr>
          <w:sz w:val="32"/>
          <w:szCs w:val="32"/>
        </w:rPr>
      </w:pPr>
      <w:r>
        <w:rPr>
          <w:rFonts w:hint="eastAsia"/>
          <w:sz w:val="32"/>
          <w:szCs w:val="32"/>
        </w:rPr>
        <w:t>（1）加强基础设施建设。高标准农田示范区建设围绕田、土、水、路、林、电、技、管</w:t>
      </w:r>
      <w:r>
        <w:rPr>
          <w:sz w:val="32"/>
          <w:szCs w:val="32"/>
        </w:rPr>
        <w:t>8</w:t>
      </w:r>
      <w:r>
        <w:rPr>
          <w:rFonts w:hint="eastAsia"/>
          <w:sz w:val="32"/>
          <w:szCs w:val="32"/>
        </w:rPr>
        <w:t>方面。重点弥补项目区内水利工程基础建设薄弱、田间道路配套比较落后、农业机械化水平与经济及社会发展不够均衡、跨越河道和排水沟缺少桥梁、涵洞等问题。</w:t>
      </w:r>
    </w:p>
    <w:p>
      <w:pPr>
        <w:overflowPunct w:val="0"/>
        <w:topLinePunct/>
        <w:spacing w:line="600" w:lineRule="exact"/>
        <w:ind w:firstLine="640"/>
        <w:jc w:val="both"/>
        <w:rPr>
          <w:sz w:val="32"/>
          <w:szCs w:val="32"/>
        </w:rPr>
      </w:pPr>
      <w:r>
        <w:rPr>
          <w:rFonts w:hint="eastAsia"/>
          <w:sz w:val="32"/>
          <w:szCs w:val="32"/>
        </w:rPr>
        <w:t>（</w:t>
      </w:r>
      <w:r>
        <w:rPr>
          <w:sz w:val="32"/>
          <w:szCs w:val="32"/>
        </w:rPr>
        <w:t>2</w:t>
      </w:r>
      <w:r>
        <w:rPr>
          <w:rFonts w:hint="eastAsia"/>
          <w:sz w:val="32"/>
          <w:szCs w:val="32"/>
        </w:rPr>
        <w:t>）助力黑土地保护。利用碎混还田技术，利用秸秆全量还田联合整地机将秸秆与耕层土壤混合、深旋、施肥、起垄同步完成，使秸秆混伴均匀，旋耕深度达到25厘米以上，配合使用有机肥、炭基肥，助力黑土地保护之路持续有效进行。</w:t>
      </w:r>
    </w:p>
    <w:p>
      <w:pPr>
        <w:overflowPunct w:val="0"/>
        <w:topLinePunct/>
        <w:spacing w:line="600" w:lineRule="exact"/>
        <w:ind w:firstLine="640"/>
        <w:jc w:val="both"/>
        <w:rPr>
          <w:sz w:val="32"/>
          <w:szCs w:val="32"/>
        </w:rPr>
      </w:pPr>
      <w:r>
        <w:rPr>
          <w:rFonts w:hint="eastAsia"/>
          <w:sz w:val="32"/>
          <w:szCs w:val="32"/>
        </w:rPr>
        <w:t>（3）实施智能灌溉，实现“一控、两减、一增”目标。利用水肥一体化智能灌溉系统，通过对土壤墒情情况实时监测，结合农作物生长模型各阶段需水需肥量，以及综合当日降雨等气象情况，完成通过灌溉与施肥有机结合，完成大田间的水肥一体化，实现水肥同步管理和高效利用，达到控制用水量，减少施肥量，减少农药用量，实现农业效益增产的目标。</w:t>
      </w:r>
    </w:p>
    <w:p>
      <w:pPr>
        <w:overflowPunct w:val="0"/>
        <w:topLinePunct/>
        <w:spacing w:line="600" w:lineRule="exact"/>
        <w:ind w:firstLine="640"/>
        <w:jc w:val="both"/>
        <w:rPr>
          <w:sz w:val="32"/>
          <w:szCs w:val="32"/>
        </w:rPr>
      </w:pPr>
      <w:r>
        <w:rPr>
          <w:rFonts w:hint="eastAsia"/>
          <w:sz w:val="32"/>
          <w:szCs w:val="32"/>
        </w:rPr>
        <w:t>（</w:t>
      </w:r>
      <w:r>
        <w:rPr>
          <w:sz w:val="32"/>
          <w:szCs w:val="32"/>
        </w:rPr>
        <w:t>4</w:t>
      </w:r>
      <w:r>
        <w:rPr>
          <w:rFonts w:hint="eastAsia"/>
          <w:sz w:val="32"/>
          <w:szCs w:val="32"/>
        </w:rPr>
        <w:t>）发展智慧农业。以“优质、高产、高效、生态、安全”的农业可持续发展思路为主轴，结合项目区实际情况，重点围绕农业生产信息化、经营信息化、管理信息化、服务信息化等建设内容，结合已建成的农业农村局信息中心控制系统，各个站点数据互联、数据采集、预测预警等数据分析，设置专家在线咨询服务，实现九台区农业物联网大数据平台服务。</w:t>
      </w:r>
    </w:p>
    <w:p>
      <w:pPr>
        <w:overflowPunct w:val="0"/>
        <w:topLinePunct/>
        <w:spacing w:line="600" w:lineRule="exact"/>
        <w:ind w:firstLine="640"/>
        <w:jc w:val="both"/>
        <w:rPr>
          <w:sz w:val="32"/>
          <w:szCs w:val="32"/>
        </w:rPr>
      </w:pPr>
      <w:r>
        <w:rPr>
          <w:rFonts w:hint="eastAsia"/>
          <w:sz w:val="32"/>
          <w:szCs w:val="32"/>
        </w:rPr>
        <w:t>（</w:t>
      </w:r>
      <w:r>
        <w:rPr>
          <w:sz w:val="32"/>
          <w:szCs w:val="32"/>
        </w:rPr>
        <w:t>5</w:t>
      </w:r>
      <w:r>
        <w:rPr>
          <w:rFonts w:hint="eastAsia"/>
          <w:sz w:val="32"/>
          <w:szCs w:val="32"/>
        </w:rPr>
        <w:t>）创新建后管护模式。项目按照“谁受益、谁管护、谁使用、谁管护”的原则明确工程管护主体，并办理管护手续。未流转的高标准农田，由当地人民政府为管护主体，可委托项目所在村委会实施具体管护。或者可结合实际，实施委托第三方代管模式。管护资金利用项目结余资金和村集体经济收入，可聘用当地百姓或农技部门专业人员负责日常的监测、运行、维护，不断完善管护制度，使项目建设能够长期有效稳定使用，形成良性循环。</w:t>
      </w:r>
    </w:p>
    <w:p>
      <w:pPr>
        <w:pStyle w:val="5"/>
      </w:pPr>
      <w:r>
        <w:rPr>
          <w:rFonts w:hint="eastAsia"/>
        </w:rPr>
        <w:t>预期效果</w:t>
      </w:r>
    </w:p>
    <w:p>
      <w:pPr>
        <w:overflowPunct w:val="0"/>
        <w:topLinePunct/>
        <w:spacing w:line="600" w:lineRule="exact"/>
        <w:ind w:firstLine="640"/>
        <w:jc w:val="both"/>
        <w:rPr>
          <w:sz w:val="32"/>
          <w:szCs w:val="32"/>
        </w:rPr>
      </w:pPr>
      <w:r>
        <w:rPr>
          <w:rFonts w:hint="eastAsia"/>
          <w:sz w:val="32"/>
          <w:szCs w:val="32"/>
        </w:rPr>
        <w:t>示范区建成后，实现“田成方、林成网、路相通、渠相连、旱能灌、涝能排、机能行”。使气象、旱情、土壤墒情、病虫害等信息智能监控，农田灌溉实现自动化远程控制，并探索新的运营管护机制，真正做到可实施、可复制、可推广，发挥示范区辐射带动作用。</w:t>
      </w:r>
    </w:p>
    <w:p>
      <w:pPr>
        <w:pStyle w:val="4"/>
      </w:pPr>
      <w:bookmarkStart w:id="77" w:name="_Toc110850075"/>
      <w:bookmarkStart w:id="78" w:name="_Toc114850797"/>
      <w:r>
        <w:rPr>
          <w:rFonts w:hint="eastAsia"/>
        </w:rPr>
        <w:t>高标准农田建设项目储备</w:t>
      </w:r>
      <w:bookmarkEnd w:id="77"/>
      <w:r>
        <w:rPr>
          <w:rFonts w:hint="eastAsia"/>
        </w:rPr>
        <w:t>计划</w:t>
      </w:r>
      <w:bookmarkEnd w:id="78"/>
    </w:p>
    <w:p>
      <w:pPr>
        <w:overflowPunct w:val="0"/>
        <w:topLinePunct/>
        <w:spacing w:line="600" w:lineRule="exact"/>
        <w:ind w:firstLine="640"/>
        <w:jc w:val="both"/>
        <w:rPr>
          <w:sz w:val="32"/>
          <w:szCs w:val="32"/>
        </w:rPr>
      </w:pPr>
      <w:r>
        <w:rPr>
          <w:rFonts w:hint="eastAsia"/>
          <w:sz w:val="32"/>
          <w:szCs w:val="32"/>
        </w:rPr>
        <w:t>为提高高标准农田建设规划的预见性和前瞻性，九台区建立高标准农田建设项目储备计划。综合考虑规划布局、水源保障、基础设施现状、连片面积、建设周期、资金投入、农民意愿、实施效益等因素，优先在粮食生产功能区和重要农产品生产保护区确定新增建设高标准农田项目储备区。</w:t>
      </w:r>
    </w:p>
    <w:p>
      <w:pPr>
        <w:overflowPunct w:val="0"/>
        <w:topLinePunct/>
        <w:spacing w:line="600" w:lineRule="exact"/>
        <w:ind w:firstLine="640"/>
        <w:jc w:val="both"/>
        <w:rPr>
          <w:sz w:val="32"/>
          <w:szCs w:val="32"/>
        </w:rPr>
      </w:pPr>
      <w:r>
        <w:rPr>
          <w:rFonts w:hint="eastAsia"/>
          <w:sz w:val="32"/>
          <w:szCs w:val="32"/>
        </w:rPr>
        <w:t>九台区2</w:t>
      </w:r>
      <w:r>
        <w:rPr>
          <w:sz w:val="32"/>
          <w:szCs w:val="32"/>
        </w:rPr>
        <w:t>023-2030</w:t>
      </w:r>
      <w:r>
        <w:rPr>
          <w:rFonts w:hint="eastAsia"/>
          <w:sz w:val="32"/>
          <w:szCs w:val="32"/>
        </w:rPr>
        <w:t>年在</w:t>
      </w:r>
      <w:r>
        <w:rPr>
          <w:sz w:val="32"/>
          <w:szCs w:val="32"/>
        </w:rPr>
        <w:t>6</w:t>
      </w:r>
      <w:r>
        <w:rPr>
          <w:rFonts w:hint="eastAsia"/>
          <w:sz w:val="32"/>
          <w:szCs w:val="32"/>
        </w:rPr>
        <w:t>个乡镇，规划新增建设高标准农田项目储备区共计</w:t>
      </w:r>
      <w:r>
        <w:rPr>
          <w:sz w:val="32"/>
          <w:szCs w:val="32"/>
        </w:rPr>
        <w:t>17.85</w:t>
      </w:r>
      <w:r>
        <w:rPr>
          <w:rFonts w:hint="eastAsia"/>
          <w:sz w:val="32"/>
          <w:szCs w:val="32"/>
        </w:rPr>
        <w:t>万亩。</w:t>
      </w:r>
    </w:p>
    <w:p>
      <w:pPr>
        <w:pStyle w:val="2"/>
        <w:ind w:left="560" w:firstLine="560"/>
      </w:pPr>
    </w:p>
    <w:p>
      <w:pPr>
        <w:ind w:firstLine="560"/>
      </w:pPr>
    </w:p>
    <w:p>
      <w:pPr>
        <w:pStyle w:val="2"/>
        <w:ind w:left="560" w:firstLine="560"/>
      </w:pPr>
    </w:p>
    <w:p>
      <w:pPr>
        <w:pStyle w:val="49"/>
        <w:spacing w:line="600" w:lineRule="exact"/>
        <w:rPr>
          <w:rFonts w:eastAsia="仿宋"/>
          <w:sz w:val="28"/>
          <w:szCs w:val="28"/>
        </w:rPr>
      </w:pPr>
      <w:r>
        <w:rPr>
          <w:rFonts w:eastAsia="仿宋"/>
          <w:sz w:val="28"/>
          <w:szCs w:val="28"/>
        </w:rPr>
        <w:t xml:space="preserve">表 </w:t>
      </w:r>
      <w:r>
        <w:rPr>
          <w:rFonts w:hint="eastAsia" w:eastAsia="仿宋"/>
          <w:sz w:val="28"/>
          <w:szCs w:val="28"/>
        </w:rPr>
        <w:t>5-</w:t>
      </w:r>
      <w:r>
        <w:rPr>
          <w:rFonts w:eastAsia="仿宋"/>
          <w:sz w:val="28"/>
          <w:szCs w:val="28"/>
        </w:rPr>
        <w:t>5</w:t>
      </w:r>
      <w:r>
        <w:rPr>
          <w:rFonts w:hint="eastAsia" w:eastAsia="仿宋"/>
          <w:sz w:val="28"/>
          <w:szCs w:val="28"/>
        </w:rPr>
        <w:t xml:space="preserve">     </w:t>
      </w:r>
      <w:r>
        <w:rPr>
          <w:rFonts w:eastAsia="仿宋"/>
          <w:sz w:val="28"/>
          <w:szCs w:val="28"/>
        </w:rPr>
        <w:t xml:space="preserve">      </w:t>
      </w:r>
      <w:r>
        <w:rPr>
          <w:rFonts w:hint="eastAsia" w:eastAsia="仿宋"/>
          <w:sz w:val="28"/>
          <w:szCs w:val="28"/>
        </w:rPr>
        <w:t>新增建设高标准农田储备项目（202</w:t>
      </w:r>
      <w:r>
        <w:rPr>
          <w:rFonts w:eastAsia="仿宋"/>
          <w:sz w:val="28"/>
          <w:szCs w:val="28"/>
        </w:rPr>
        <w:t>3</w:t>
      </w:r>
      <w:r>
        <w:rPr>
          <w:rFonts w:hint="eastAsia" w:eastAsia="仿宋"/>
          <w:sz w:val="28"/>
          <w:szCs w:val="28"/>
        </w:rPr>
        <w:t>-20</w:t>
      </w:r>
      <w:r>
        <w:rPr>
          <w:rFonts w:eastAsia="仿宋"/>
          <w:sz w:val="28"/>
          <w:szCs w:val="28"/>
        </w:rPr>
        <w:t>30</w:t>
      </w:r>
      <w:r>
        <w:rPr>
          <w:rFonts w:hint="eastAsia" w:eastAsia="仿宋"/>
          <w:sz w:val="28"/>
          <w:szCs w:val="28"/>
        </w:rPr>
        <w:t xml:space="preserve">年）规划     </w:t>
      </w:r>
      <w:r>
        <w:rPr>
          <w:rFonts w:eastAsia="仿宋"/>
          <w:sz w:val="28"/>
          <w:szCs w:val="28"/>
        </w:rPr>
        <w:t xml:space="preserve">   </w:t>
      </w:r>
      <w:r>
        <w:rPr>
          <w:rFonts w:hint="eastAsia" w:eastAsia="仿宋"/>
          <w:sz w:val="28"/>
          <w:szCs w:val="28"/>
        </w:rPr>
        <w:t>万亩</w:t>
      </w:r>
    </w:p>
    <w:tbl>
      <w:tblPr>
        <w:tblStyle w:val="29"/>
        <w:tblW w:w="5000" w:type="pct"/>
        <w:jc w:val="center"/>
        <w:tblLayout w:type="autofit"/>
        <w:tblCellMar>
          <w:top w:w="0" w:type="dxa"/>
          <w:left w:w="108" w:type="dxa"/>
          <w:bottom w:w="0" w:type="dxa"/>
          <w:right w:w="108" w:type="dxa"/>
        </w:tblCellMar>
      </w:tblPr>
      <w:tblGrid>
        <w:gridCol w:w="1414"/>
        <w:gridCol w:w="2947"/>
        <w:gridCol w:w="3456"/>
        <w:gridCol w:w="1414"/>
      </w:tblGrid>
      <w:tr>
        <w:tblPrEx>
          <w:tblCellMar>
            <w:top w:w="0" w:type="dxa"/>
            <w:left w:w="108" w:type="dxa"/>
            <w:bottom w:w="0" w:type="dxa"/>
            <w:right w:w="108" w:type="dxa"/>
          </w:tblCellMar>
        </w:tblPrEx>
        <w:trPr>
          <w:trHeight w:val="374" w:hRule="atLeast"/>
          <w:jc w:val="center"/>
        </w:trPr>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序号</w:t>
            </w:r>
          </w:p>
        </w:tc>
        <w:tc>
          <w:tcPr>
            <w:tcW w:w="159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行政区名称</w:t>
            </w:r>
          </w:p>
        </w:tc>
        <w:tc>
          <w:tcPr>
            <w:tcW w:w="187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储备项目面积</w:t>
            </w:r>
          </w:p>
        </w:tc>
        <w:tc>
          <w:tcPr>
            <w:tcW w:w="76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b/>
                <w:bCs/>
                <w:kern w:val="0"/>
                <w:szCs w:val="28"/>
              </w:rPr>
            </w:pPr>
            <w:r>
              <w:rPr>
                <w:rFonts w:hint="eastAsia" w:ascii="仿宋" w:hAnsi="仿宋" w:cs="宋体"/>
                <w:b/>
                <w:bCs/>
                <w:kern w:val="0"/>
                <w:szCs w:val="28"/>
              </w:rPr>
              <w:t>备注</w:t>
            </w:r>
          </w:p>
        </w:tc>
      </w:tr>
      <w:tr>
        <w:tblPrEx>
          <w:tblCellMar>
            <w:top w:w="0" w:type="dxa"/>
            <w:left w:w="108" w:type="dxa"/>
            <w:bottom w:w="0" w:type="dxa"/>
            <w:right w:w="108" w:type="dxa"/>
          </w:tblCellMar>
        </w:tblPrEx>
        <w:trPr>
          <w:trHeight w:val="374" w:hRule="atLeast"/>
          <w:jc w:val="center"/>
        </w:trPr>
        <w:tc>
          <w:tcPr>
            <w:tcW w:w="236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合计</w:t>
            </w:r>
          </w:p>
        </w:tc>
        <w:tc>
          <w:tcPr>
            <w:tcW w:w="18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Cs w:val="28"/>
              </w:rPr>
            </w:pPr>
            <w:r>
              <w:rPr>
                <w:rFonts w:ascii="仿宋" w:hAnsi="仿宋" w:cs="Times New Roman"/>
                <w:kern w:val="0"/>
                <w:szCs w:val="28"/>
              </w:rPr>
              <w:t>26</w:t>
            </w:r>
          </w:p>
        </w:tc>
        <w:tc>
          <w:tcPr>
            <w:tcW w:w="76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　</w:t>
            </w:r>
          </w:p>
        </w:tc>
      </w:tr>
      <w:tr>
        <w:tblPrEx>
          <w:tblCellMar>
            <w:top w:w="0" w:type="dxa"/>
            <w:left w:w="108" w:type="dxa"/>
            <w:bottom w:w="0" w:type="dxa"/>
            <w:right w:w="108" w:type="dxa"/>
          </w:tblCellMar>
        </w:tblPrEx>
        <w:trPr>
          <w:trHeight w:val="374" w:hRule="atLeast"/>
          <w:jc w:val="center"/>
        </w:trPr>
        <w:tc>
          <w:tcPr>
            <w:tcW w:w="76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1</w:t>
            </w:r>
          </w:p>
        </w:tc>
        <w:tc>
          <w:tcPr>
            <w:tcW w:w="15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波泥河街道</w:t>
            </w:r>
          </w:p>
        </w:tc>
        <w:tc>
          <w:tcPr>
            <w:tcW w:w="18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6</w:t>
            </w:r>
          </w:p>
        </w:tc>
        <w:tc>
          <w:tcPr>
            <w:tcW w:w="76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　</w:t>
            </w:r>
          </w:p>
        </w:tc>
      </w:tr>
      <w:tr>
        <w:tblPrEx>
          <w:tblCellMar>
            <w:top w:w="0" w:type="dxa"/>
            <w:left w:w="108" w:type="dxa"/>
            <w:bottom w:w="0" w:type="dxa"/>
            <w:right w:w="108" w:type="dxa"/>
          </w:tblCellMar>
        </w:tblPrEx>
        <w:trPr>
          <w:trHeight w:val="374" w:hRule="atLeast"/>
          <w:jc w:val="center"/>
        </w:trPr>
        <w:tc>
          <w:tcPr>
            <w:tcW w:w="76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2</w:t>
            </w:r>
          </w:p>
        </w:tc>
        <w:tc>
          <w:tcPr>
            <w:tcW w:w="15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九郊街道</w:t>
            </w:r>
          </w:p>
        </w:tc>
        <w:tc>
          <w:tcPr>
            <w:tcW w:w="18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2</w:t>
            </w:r>
          </w:p>
        </w:tc>
        <w:tc>
          <w:tcPr>
            <w:tcW w:w="76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　</w:t>
            </w:r>
          </w:p>
        </w:tc>
      </w:tr>
      <w:tr>
        <w:tblPrEx>
          <w:tblCellMar>
            <w:top w:w="0" w:type="dxa"/>
            <w:left w:w="108" w:type="dxa"/>
            <w:bottom w:w="0" w:type="dxa"/>
            <w:right w:w="108" w:type="dxa"/>
          </w:tblCellMar>
        </w:tblPrEx>
        <w:trPr>
          <w:trHeight w:val="374" w:hRule="atLeast"/>
          <w:jc w:val="center"/>
        </w:trPr>
        <w:tc>
          <w:tcPr>
            <w:tcW w:w="76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3</w:t>
            </w:r>
          </w:p>
        </w:tc>
        <w:tc>
          <w:tcPr>
            <w:tcW w:w="15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沐石河街道</w:t>
            </w:r>
          </w:p>
        </w:tc>
        <w:tc>
          <w:tcPr>
            <w:tcW w:w="18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13</w:t>
            </w:r>
          </w:p>
        </w:tc>
        <w:tc>
          <w:tcPr>
            <w:tcW w:w="76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　</w:t>
            </w:r>
          </w:p>
        </w:tc>
      </w:tr>
      <w:tr>
        <w:tblPrEx>
          <w:tblCellMar>
            <w:top w:w="0" w:type="dxa"/>
            <w:left w:w="108" w:type="dxa"/>
            <w:bottom w:w="0" w:type="dxa"/>
            <w:right w:w="108" w:type="dxa"/>
          </w:tblCellMar>
        </w:tblPrEx>
        <w:trPr>
          <w:trHeight w:val="374" w:hRule="atLeast"/>
          <w:jc w:val="center"/>
        </w:trPr>
        <w:tc>
          <w:tcPr>
            <w:tcW w:w="76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4</w:t>
            </w:r>
          </w:p>
        </w:tc>
        <w:tc>
          <w:tcPr>
            <w:tcW w:w="15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苇子沟街道</w:t>
            </w:r>
          </w:p>
        </w:tc>
        <w:tc>
          <w:tcPr>
            <w:tcW w:w="18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ascii="仿宋" w:hAnsi="仿宋" w:cs="宋体"/>
                <w:kern w:val="0"/>
                <w:szCs w:val="28"/>
              </w:rPr>
              <w:t>5</w:t>
            </w:r>
          </w:p>
        </w:tc>
        <w:tc>
          <w:tcPr>
            <w:tcW w:w="76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Cs w:val="28"/>
              </w:rPr>
            </w:pPr>
            <w:r>
              <w:rPr>
                <w:rFonts w:hint="eastAsia" w:ascii="仿宋" w:hAnsi="仿宋" w:cs="宋体"/>
                <w:kern w:val="0"/>
                <w:szCs w:val="28"/>
              </w:rPr>
              <w:t>　</w:t>
            </w:r>
          </w:p>
        </w:tc>
      </w:tr>
    </w:tbl>
    <w:p>
      <w:pPr>
        <w:pStyle w:val="2"/>
        <w:ind w:left="560" w:firstLine="560"/>
      </w:pPr>
      <w:r>
        <w:br w:type="page"/>
      </w:r>
    </w:p>
    <w:p>
      <w:pPr>
        <w:pStyle w:val="3"/>
        <w:rPr>
          <w:rFonts w:ascii="Times New Roman"/>
        </w:rPr>
      </w:pPr>
      <w:bookmarkStart w:id="79" w:name="_Toc114850798"/>
      <w:bookmarkStart w:id="80" w:name="_Toc96520174"/>
      <w:bookmarkStart w:id="81" w:name="_Toc96427338"/>
      <w:bookmarkStart w:id="82" w:name="_Hlk98335328"/>
      <w:r>
        <w:rPr>
          <w:rFonts w:hint="eastAsia" w:ascii="Times New Roman"/>
        </w:rPr>
        <w:t>建设监管和后续管护</w:t>
      </w:r>
      <w:bookmarkEnd w:id="79"/>
      <w:bookmarkEnd w:id="80"/>
      <w:bookmarkEnd w:id="81"/>
    </w:p>
    <w:bookmarkEnd w:id="82"/>
    <w:p>
      <w:pPr>
        <w:pStyle w:val="4"/>
      </w:pPr>
      <w:bookmarkStart w:id="83" w:name="_Toc24767"/>
      <w:bookmarkStart w:id="84" w:name="_Toc114850799"/>
      <w:bookmarkStart w:id="85" w:name="_Toc101043913"/>
      <w:r>
        <w:rPr>
          <w:rFonts w:hint="eastAsia"/>
        </w:rPr>
        <w:t>严格建设监管</w:t>
      </w:r>
      <w:bookmarkEnd w:id="83"/>
      <w:bookmarkEnd w:id="84"/>
      <w:bookmarkEnd w:id="85"/>
    </w:p>
    <w:p>
      <w:pPr>
        <w:pStyle w:val="5"/>
      </w:pPr>
      <w:r>
        <w:rPr>
          <w:rFonts w:hint="eastAsia"/>
        </w:rPr>
        <w:t>工程质量控制</w:t>
      </w:r>
    </w:p>
    <w:p>
      <w:pPr>
        <w:overflowPunct w:val="0"/>
        <w:topLinePunct/>
        <w:spacing w:line="600" w:lineRule="exact"/>
        <w:ind w:firstLine="640"/>
        <w:jc w:val="both"/>
        <w:rPr>
          <w:sz w:val="32"/>
          <w:szCs w:val="32"/>
        </w:rPr>
      </w:pPr>
      <w:r>
        <w:rPr>
          <w:rFonts w:hint="eastAsia"/>
          <w:sz w:val="32"/>
          <w:szCs w:val="32"/>
        </w:rPr>
        <w:t>（1）工程治理控制原则：按照“质量第一”、“预防为主”、“用数据说话”的原则，落实施工企业质量保障体系，加强监理工程师现场质量控制措施，做好施工质量控制。</w:t>
      </w:r>
    </w:p>
    <w:p>
      <w:pPr>
        <w:overflowPunct w:val="0"/>
        <w:topLinePunct/>
        <w:spacing w:line="600" w:lineRule="exact"/>
        <w:ind w:firstLine="640"/>
        <w:jc w:val="both"/>
        <w:rPr>
          <w:sz w:val="32"/>
          <w:szCs w:val="32"/>
        </w:rPr>
      </w:pPr>
      <w:r>
        <w:rPr>
          <w:rFonts w:hint="eastAsia"/>
          <w:sz w:val="32"/>
          <w:szCs w:val="32"/>
        </w:rPr>
        <w:t>（2）建立质量保障体系：施工单位、监理单位和设计单位均应建立质量管理体系，明确保证质量方针、质量目标和质量控制计划，建立质量目标责任制，设立专职质量管理机构和质量管理人员，实行质量管理业务标准化和工作流程程序化，建立高效、灵敏的质量信息管理系统。项目法人应对各建设单位的质量保证体系进行定期检查，落实执行情况。</w:t>
      </w:r>
    </w:p>
    <w:p>
      <w:pPr>
        <w:overflowPunct w:val="0"/>
        <w:topLinePunct/>
        <w:spacing w:line="600" w:lineRule="exact"/>
        <w:ind w:firstLine="640"/>
        <w:jc w:val="both"/>
        <w:rPr>
          <w:sz w:val="32"/>
          <w:szCs w:val="32"/>
        </w:rPr>
      </w:pPr>
      <w:r>
        <w:rPr>
          <w:rFonts w:hint="eastAsia"/>
          <w:sz w:val="32"/>
          <w:szCs w:val="32"/>
        </w:rPr>
        <w:t>（3）严格招标制度：通过招投标程序，委托具有监理资质的工程监理单位进行工程施工的全过程监理，委托具有施工资质的施工单位进行工程施工，确保工程施工单位按规划设计、相关规范要求进行施工。</w:t>
      </w:r>
    </w:p>
    <w:p>
      <w:pPr>
        <w:overflowPunct w:val="0"/>
        <w:topLinePunct/>
        <w:spacing w:line="600" w:lineRule="exact"/>
        <w:ind w:firstLine="640"/>
        <w:jc w:val="both"/>
        <w:rPr>
          <w:sz w:val="32"/>
          <w:szCs w:val="32"/>
        </w:rPr>
      </w:pPr>
      <w:r>
        <w:rPr>
          <w:rFonts w:hint="eastAsia"/>
          <w:sz w:val="32"/>
          <w:szCs w:val="32"/>
        </w:rPr>
        <w:t>（4）建立公众质量监督体系：工程所涉及的村委会均成立群众质量监督小组，监督小组可直接反映工程建设质量情况。</w:t>
      </w:r>
    </w:p>
    <w:p>
      <w:pPr>
        <w:overflowPunct w:val="0"/>
        <w:topLinePunct/>
        <w:spacing w:line="600" w:lineRule="exact"/>
        <w:ind w:firstLine="640"/>
        <w:jc w:val="both"/>
        <w:rPr>
          <w:sz w:val="32"/>
          <w:szCs w:val="32"/>
        </w:rPr>
      </w:pPr>
      <w:r>
        <w:rPr>
          <w:rFonts w:hint="eastAsia"/>
          <w:sz w:val="32"/>
          <w:szCs w:val="32"/>
        </w:rPr>
        <w:t>（5）施工阶段质量控制：主要通过技术交底、测量控制、关键部位质量控制、雨季施工质量控制。</w:t>
      </w:r>
    </w:p>
    <w:p>
      <w:pPr>
        <w:overflowPunct w:val="0"/>
        <w:topLinePunct/>
        <w:spacing w:line="600" w:lineRule="exact"/>
        <w:ind w:firstLine="640"/>
        <w:jc w:val="both"/>
        <w:rPr>
          <w:sz w:val="32"/>
          <w:szCs w:val="32"/>
        </w:rPr>
      </w:pPr>
      <w:r>
        <w:rPr>
          <w:rFonts w:hint="eastAsia"/>
          <w:sz w:val="32"/>
          <w:szCs w:val="32"/>
        </w:rPr>
        <w:t>（6）对影响工程质量的主要因素的控制：主要因素是人、材料、机械、方法和环境五大因素。对项目承担单位、工程建设单位均要定期组织加强教育培训，提高人员的管理水平、技术水平和操作水平，防止违纪违章及错误行为产生。材料检验员要对进场材料包括对材料采购质量、运输质量及使用质量及时进行检验，填写检验单。对施工机械设备的控制，应着重从机械设备选型、主要性能参数确定和操作三方面予以控制。</w:t>
      </w:r>
    </w:p>
    <w:p>
      <w:pPr>
        <w:pStyle w:val="5"/>
      </w:pPr>
      <w:r>
        <w:rPr>
          <w:rFonts w:hint="eastAsia"/>
        </w:rPr>
        <w:t>工程进度控制</w:t>
      </w:r>
    </w:p>
    <w:p>
      <w:pPr>
        <w:overflowPunct w:val="0"/>
        <w:topLinePunct/>
        <w:spacing w:line="600" w:lineRule="exact"/>
        <w:ind w:firstLine="640"/>
        <w:jc w:val="both"/>
        <w:rPr>
          <w:sz w:val="32"/>
          <w:szCs w:val="32"/>
        </w:rPr>
      </w:pPr>
      <w:r>
        <w:rPr>
          <w:rFonts w:hint="eastAsia"/>
          <w:sz w:val="32"/>
          <w:szCs w:val="32"/>
        </w:rPr>
        <w:t>（1）进度计划：施工单位需将施工进度计划表报业主及九台区高标准农田建设项目指挥组备案，严格按照施工进度计划进行施工，必须按领导小组和有关高标准农田建设信息报备要求及时报送各项目施工建设进度。</w:t>
      </w:r>
    </w:p>
    <w:p>
      <w:pPr>
        <w:overflowPunct w:val="0"/>
        <w:topLinePunct/>
        <w:spacing w:line="600" w:lineRule="exact"/>
        <w:ind w:firstLine="640"/>
        <w:jc w:val="both"/>
        <w:rPr>
          <w:sz w:val="32"/>
          <w:szCs w:val="32"/>
        </w:rPr>
      </w:pPr>
      <w:r>
        <w:rPr>
          <w:rFonts w:hint="eastAsia"/>
          <w:sz w:val="32"/>
          <w:szCs w:val="32"/>
        </w:rPr>
        <w:t>（2）进度检查：区领导小组要定时或不定时的对各项目进行项目实施情况的实地督查和抽查，安排专职人员对项目的进度数据进行汇总与跟踪，确保实施掌控最新数据。</w:t>
      </w:r>
    </w:p>
    <w:p>
      <w:pPr>
        <w:overflowPunct w:val="0"/>
        <w:topLinePunct/>
        <w:spacing w:line="600" w:lineRule="exact"/>
        <w:ind w:firstLine="640"/>
        <w:jc w:val="both"/>
        <w:rPr>
          <w:sz w:val="32"/>
          <w:szCs w:val="32"/>
        </w:rPr>
      </w:pPr>
      <w:r>
        <w:rPr>
          <w:rFonts w:hint="eastAsia"/>
          <w:sz w:val="32"/>
          <w:szCs w:val="32"/>
        </w:rPr>
        <w:t>（3）对不影响年度施工计划的应对方案：对于一般的、不影响年度计划的，现场业主代表及监理应及时向区行政主管部门报告，并按照相关合同的要求，积极组织协调，要求受托单位检查工作方法，提高工作效率，增加技术力量和相关设备，在不影响年度计划的时间内保质保量地完成相关的委托工作，并将处理的过程和结果报区领导小组办公室。</w:t>
      </w:r>
    </w:p>
    <w:p>
      <w:pPr>
        <w:overflowPunct w:val="0"/>
        <w:topLinePunct/>
        <w:spacing w:line="600" w:lineRule="exact"/>
        <w:ind w:firstLine="640"/>
        <w:jc w:val="both"/>
        <w:rPr>
          <w:sz w:val="32"/>
          <w:szCs w:val="32"/>
        </w:rPr>
      </w:pPr>
      <w:r>
        <w:rPr>
          <w:rFonts w:hint="eastAsia"/>
          <w:sz w:val="32"/>
          <w:szCs w:val="32"/>
        </w:rPr>
        <w:t>（4）对影响年度施工计划的应对方案：对于影响年度计划进度的，区实施领导小组办公室应及时向省行政主管部门汇报，在省、市领导小组的指导下和帮助下，组织相关部门、机构和专家，针对不同的问题，研究制定具体的、可行的解决方案，在不影响年度计划的时间内完成既定任务，并将处理的过程和结果报市行政主管部门。</w:t>
      </w:r>
    </w:p>
    <w:p>
      <w:pPr>
        <w:pStyle w:val="5"/>
        <w:spacing w:before="72" w:after="72"/>
        <w:ind w:left="-259"/>
      </w:pPr>
      <w:r>
        <w:rPr>
          <w:rFonts w:hint="eastAsia"/>
        </w:rPr>
        <w:t>工程资金控制</w:t>
      </w:r>
    </w:p>
    <w:p>
      <w:pPr>
        <w:overflowPunct w:val="0"/>
        <w:topLinePunct/>
        <w:spacing w:line="600" w:lineRule="exact"/>
        <w:ind w:firstLine="640"/>
        <w:jc w:val="both"/>
        <w:rPr>
          <w:sz w:val="32"/>
          <w:szCs w:val="32"/>
        </w:rPr>
      </w:pPr>
      <w:r>
        <w:rPr>
          <w:rFonts w:hint="eastAsia"/>
          <w:sz w:val="32"/>
          <w:szCs w:val="32"/>
        </w:rPr>
        <w:t>项目资金必须坚持专款专用，独立核算，不截留，不挤占，不挪用。项目进度款要根据工程进度进行审核，请款资料要齐备，手续完全。另外，各级财政部门、农业部门，定时对项目资金使用情况等进行抽查，开展项目资金使用情况督查。项目竣工验收后，严格把好资金审计关，确保项目资金落实到位。</w:t>
      </w:r>
    </w:p>
    <w:p>
      <w:pPr>
        <w:overflowPunct w:val="0"/>
        <w:topLinePunct/>
        <w:spacing w:line="600" w:lineRule="exact"/>
        <w:ind w:firstLine="640"/>
        <w:jc w:val="both"/>
        <w:rPr>
          <w:sz w:val="32"/>
          <w:szCs w:val="32"/>
        </w:rPr>
      </w:pPr>
      <w:r>
        <w:rPr>
          <w:rFonts w:hint="eastAsia"/>
          <w:sz w:val="32"/>
          <w:szCs w:val="32"/>
        </w:rPr>
        <w:t>（1）资金控制原则：严格执行预算标准和控制项目预算不突破的原则、工程建设内容的变更调整和预算调整相一致的原则、处理工程变更和违约索赔，坚持合理、公正、实事求是的原则。</w:t>
      </w:r>
    </w:p>
    <w:p>
      <w:pPr>
        <w:overflowPunct w:val="0"/>
        <w:topLinePunct/>
        <w:spacing w:line="600" w:lineRule="exact"/>
        <w:ind w:firstLine="640"/>
        <w:jc w:val="both"/>
        <w:rPr>
          <w:sz w:val="32"/>
          <w:szCs w:val="32"/>
        </w:rPr>
      </w:pPr>
      <w:r>
        <w:rPr>
          <w:rFonts w:hint="eastAsia"/>
          <w:sz w:val="32"/>
          <w:szCs w:val="32"/>
        </w:rPr>
        <w:t>（2）资金控制的主要工作：建立资金审批程序，建立定期资金对照分析报告制度，控制管理人员开支，监督直接成本的完成情况，控制项目的变更，检查工程的实际完成情况，对施工单位提交的费用支出计划进行审核，按照合同约定及时拨付工程预付款，对施工单位提交的已完工工程量，监理对原始数据进行现场复核，项目实施管理机构和监理共同对工程量进行计量签证，按合同约定及时拨付工程款，按竣工结算审核步骤做好工程结算的审核。</w:t>
      </w:r>
    </w:p>
    <w:p>
      <w:pPr>
        <w:overflowPunct w:val="0"/>
        <w:topLinePunct/>
        <w:spacing w:line="600" w:lineRule="exact"/>
        <w:ind w:firstLine="640"/>
        <w:jc w:val="both"/>
        <w:rPr>
          <w:sz w:val="32"/>
          <w:szCs w:val="32"/>
        </w:rPr>
      </w:pPr>
      <w:r>
        <w:rPr>
          <w:rFonts w:hint="eastAsia"/>
          <w:sz w:val="32"/>
          <w:szCs w:val="32"/>
        </w:rPr>
        <w:t>（3）资金控制措施：建立重大工程资金管理专户制度、项目资金实行联签审批制度、建立资金核算会计制度。</w:t>
      </w:r>
    </w:p>
    <w:p>
      <w:pPr>
        <w:pStyle w:val="4"/>
        <w:ind w:left="141"/>
      </w:pPr>
      <w:bookmarkStart w:id="86" w:name="_Toc107301787"/>
      <w:bookmarkStart w:id="87" w:name="_Toc114850800"/>
      <w:r>
        <w:rPr>
          <w:rFonts w:hint="eastAsia"/>
        </w:rPr>
        <w:t>统一上图入库</w:t>
      </w:r>
      <w:bookmarkEnd w:id="86"/>
      <w:bookmarkEnd w:id="87"/>
    </w:p>
    <w:p>
      <w:pPr>
        <w:overflowPunct w:val="0"/>
        <w:topLinePunct/>
        <w:spacing w:line="600" w:lineRule="exact"/>
        <w:ind w:firstLine="640"/>
        <w:rPr>
          <w:sz w:val="32"/>
          <w:szCs w:val="32"/>
        </w:rPr>
      </w:pPr>
      <w:r>
        <w:rPr>
          <w:rFonts w:hint="eastAsia"/>
          <w:sz w:val="32"/>
          <w:szCs w:val="32"/>
        </w:rPr>
        <w:t>以土地利用现状图</w:t>
      </w:r>
      <w:r>
        <w:rPr>
          <w:sz w:val="32"/>
          <w:szCs w:val="32"/>
        </w:rPr>
        <w:t>为底图，结合全</w:t>
      </w:r>
      <w:r>
        <w:rPr>
          <w:rFonts w:hint="eastAsia"/>
          <w:sz w:val="32"/>
          <w:szCs w:val="32"/>
        </w:rPr>
        <w:t>区已建成</w:t>
      </w:r>
      <w:r>
        <w:rPr>
          <w:sz w:val="32"/>
          <w:szCs w:val="32"/>
        </w:rPr>
        <w:t>高标准农田建设</w:t>
      </w:r>
      <w:r>
        <w:rPr>
          <w:rFonts w:hint="eastAsia"/>
          <w:sz w:val="32"/>
          <w:szCs w:val="32"/>
        </w:rPr>
        <w:t>历史数据</w:t>
      </w:r>
      <w:r>
        <w:rPr>
          <w:sz w:val="32"/>
          <w:szCs w:val="32"/>
        </w:rPr>
        <w:t>，</w:t>
      </w:r>
      <w:r>
        <w:rPr>
          <w:rFonts w:hint="eastAsia"/>
          <w:sz w:val="32"/>
          <w:szCs w:val="32"/>
        </w:rPr>
        <w:t>按照</w:t>
      </w:r>
      <w:r>
        <w:rPr>
          <w:sz w:val="32"/>
          <w:szCs w:val="32"/>
        </w:rPr>
        <w:t>省</w:t>
      </w:r>
      <w:r>
        <w:rPr>
          <w:rFonts w:hint="eastAsia"/>
          <w:sz w:val="32"/>
          <w:szCs w:val="32"/>
        </w:rPr>
        <w:t>级统一</w:t>
      </w:r>
      <w:r>
        <w:rPr>
          <w:sz w:val="32"/>
          <w:szCs w:val="32"/>
        </w:rPr>
        <w:t>标</w:t>
      </w:r>
      <w:r>
        <w:rPr>
          <w:rFonts w:hint="eastAsia"/>
          <w:sz w:val="32"/>
          <w:szCs w:val="32"/>
        </w:rPr>
        <w:t>准</w:t>
      </w:r>
      <w:r>
        <w:rPr>
          <w:sz w:val="32"/>
          <w:szCs w:val="32"/>
        </w:rPr>
        <w:t>规范、统一数据要求，</w:t>
      </w:r>
      <w:r>
        <w:rPr>
          <w:rFonts w:hint="eastAsia"/>
          <w:sz w:val="32"/>
          <w:szCs w:val="32"/>
        </w:rPr>
        <w:t>把</w:t>
      </w:r>
      <w:r>
        <w:rPr>
          <w:sz w:val="32"/>
          <w:szCs w:val="32"/>
        </w:rPr>
        <w:t>全</w:t>
      </w:r>
      <w:r>
        <w:rPr>
          <w:rFonts w:hint="eastAsia"/>
          <w:sz w:val="32"/>
          <w:szCs w:val="32"/>
        </w:rPr>
        <w:t>区</w:t>
      </w:r>
      <w:r>
        <w:rPr>
          <w:sz w:val="32"/>
          <w:szCs w:val="32"/>
        </w:rPr>
        <w:t>高标准农田建设项目的立项、实施、验收等各阶段相关信息统一上图入库，</w:t>
      </w:r>
      <w:r>
        <w:rPr>
          <w:rFonts w:hint="eastAsia"/>
          <w:sz w:val="32"/>
          <w:szCs w:val="32"/>
        </w:rPr>
        <w:t>准确及时在“全国农田建设监测监管平台”系统中更新项目信息，</w:t>
      </w:r>
      <w:r>
        <w:rPr>
          <w:sz w:val="32"/>
          <w:szCs w:val="32"/>
        </w:rPr>
        <w:t>建成全</w:t>
      </w:r>
      <w:r>
        <w:rPr>
          <w:rFonts w:hint="eastAsia"/>
          <w:sz w:val="32"/>
          <w:szCs w:val="32"/>
        </w:rPr>
        <w:t>区</w:t>
      </w:r>
      <w:r>
        <w:rPr>
          <w:sz w:val="32"/>
          <w:szCs w:val="32"/>
        </w:rPr>
        <w:t>高标准农田建设“</w:t>
      </w:r>
      <w:r>
        <w:rPr>
          <w:rFonts w:hint="eastAsia"/>
          <w:sz w:val="32"/>
          <w:szCs w:val="32"/>
        </w:rPr>
        <w:t>一张图</w:t>
      </w:r>
      <w:r>
        <w:rPr>
          <w:sz w:val="32"/>
          <w:szCs w:val="32"/>
        </w:rPr>
        <w:t>”</w:t>
      </w:r>
      <w:r>
        <w:rPr>
          <w:rFonts w:hint="eastAsia"/>
          <w:sz w:val="32"/>
          <w:szCs w:val="32"/>
        </w:rPr>
        <w:t>，实现有据可查、全程监控、精准管理、资源共享。新建</w:t>
      </w:r>
      <w:r>
        <w:rPr>
          <w:sz w:val="32"/>
          <w:szCs w:val="32"/>
        </w:rPr>
        <w:t>项目在“</w:t>
      </w:r>
      <w:r>
        <w:rPr>
          <w:rFonts w:hint="eastAsia"/>
          <w:sz w:val="32"/>
          <w:szCs w:val="32"/>
        </w:rPr>
        <w:t>一张图</w:t>
      </w:r>
      <w:r>
        <w:rPr>
          <w:sz w:val="32"/>
          <w:szCs w:val="32"/>
        </w:rPr>
        <w:t>”</w:t>
      </w:r>
      <w:r>
        <w:rPr>
          <w:rFonts w:hint="eastAsia"/>
          <w:sz w:val="32"/>
          <w:szCs w:val="32"/>
        </w:rPr>
        <w:t>的</w:t>
      </w:r>
      <w:r>
        <w:rPr>
          <w:sz w:val="32"/>
          <w:szCs w:val="32"/>
        </w:rPr>
        <w:t>基础上，</w:t>
      </w:r>
      <w:r>
        <w:rPr>
          <w:rFonts w:hint="eastAsia"/>
          <w:sz w:val="32"/>
          <w:szCs w:val="32"/>
        </w:rPr>
        <w:t>参照在永久基本农田保护区、粮食生产功能区、重要农产品生产保护区，集中力量建设高标准农田。与自然资源、水利、财政等多部门联动，完善部门间信息共享机制，实现农田建设、保护、利用信息的互通共享。加强数据挖掘分析，为农田建设管理和保护利用提供决策支撑。</w:t>
      </w:r>
    </w:p>
    <w:p>
      <w:pPr>
        <w:pStyle w:val="4"/>
      </w:pPr>
      <w:bookmarkStart w:id="88" w:name="_Toc114125158"/>
      <w:bookmarkStart w:id="89" w:name="_Toc114661633"/>
      <w:bookmarkStart w:id="90" w:name="_Toc114850801"/>
      <w:r>
        <w:rPr>
          <w:rFonts w:hint="eastAsia"/>
        </w:rPr>
        <w:t>规范竣工</w:t>
      </w:r>
      <w:r>
        <w:t>验收</w:t>
      </w:r>
      <w:bookmarkEnd w:id="88"/>
      <w:bookmarkEnd w:id="89"/>
      <w:bookmarkEnd w:id="90"/>
    </w:p>
    <w:p>
      <w:pPr>
        <w:pStyle w:val="5"/>
      </w:pPr>
      <w:r>
        <w:rPr>
          <w:rFonts w:hint="eastAsia"/>
        </w:rPr>
        <w:t>明确验收程序</w:t>
      </w:r>
    </w:p>
    <w:p>
      <w:pPr>
        <w:spacing w:line="600" w:lineRule="exact"/>
        <w:ind w:firstLine="640"/>
        <w:jc w:val="both"/>
        <w:rPr>
          <w:sz w:val="32"/>
          <w:szCs w:val="32"/>
        </w:rPr>
      </w:pPr>
      <w:r>
        <w:rPr>
          <w:rFonts w:hint="eastAsia"/>
          <w:sz w:val="32"/>
          <w:szCs w:val="32"/>
        </w:rPr>
        <w:t>根据《高标准农田建设项目竣工验收办法》（农建发〔2021〕5号），验收按照县级组织初步验收、市级负责竣工验收的先后顺序组织开展，完成验收结果逐级上报，竣工验收结果报省农业农村厅备案。</w:t>
      </w:r>
    </w:p>
    <w:p>
      <w:pPr>
        <w:overflowPunct w:val="0"/>
        <w:spacing w:line="600" w:lineRule="exact"/>
        <w:ind w:firstLine="640"/>
        <w:jc w:val="both"/>
        <w:rPr>
          <w:sz w:val="32"/>
          <w:szCs w:val="32"/>
        </w:rPr>
      </w:pPr>
      <w:r>
        <w:rPr>
          <w:rFonts w:hint="eastAsia"/>
          <w:sz w:val="32"/>
          <w:szCs w:val="32"/>
        </w:rPr>
        <w:t>初步验收由县级农业农村部门牵头组织，对工程质量检验与评定报告、项目档案资料、工程建设数量与质量完成情况等进行逐项验收。</w:t>
      </w:r>
    </w:p>
    <w:p>
      <w:pPr>
        <w:overflowPunct w:val="0"/>
        <w:spacing w:line="600" w:lineRule="exact"/>
        <w:ind w:firstLine="640"/>
        <w:jc w:val="both"/>
        <w:rPr>
          <w:sz w:val="32"/>
          <w:szCs w:val="32"/>
        </w:rPr>
      </w:pPr>
      <w:r>
        <w:rPr>
          <w:rFonts w:hint="eastAsia"/>
          <w:sz w:val="32"/>
          <w:szCs w:val="32"/>
        </w:rPr>
        <w:t>竣工验收由市级农业农村部门组织，聘请相关专业专家，对项目前期工作情况、档案资料完整情况、建设指标及工程数量质量情况、资金申请拨付及资金使用管理情况、工程变更情况、合同执行情况及管理制度执行情况等进行全面验收。对竣工验收合格的项目，核发农业农村部统一格式的竣工验收合格证书。</w:t>
      </w:r>
    </w:p>
    <w:p>
      <w:pPr>
        <w:pStyle w:val="5"/>
      </w:pPr>
      <w:r>
        <w:rPr>
          <w:rFonts w:hint="eastAsia"/>
        </w:rPr>
        <w:t>规范项目归档</w:t>
      </w:r>
    </w:p>
    <w:p>
      <w:pPr>
        <w:overflowPunct w:val="0"/>
        <w:spacing w:line="600" w:lineRule="exact"/>
        <w:ind w:firstLine="640"/>
        <w:jc w:val="both"/>
        <w:rPr>
          <w:sz w:val="32"/>
          <w:szCs w:val="32"/>
        </w:rPr>
      </w:pPr>
      <w:r>
        <w:rPr>
          <w:rFonts w:hint="eastAsia"/>
          <w:sz w:val="32"/>
          <w:szCs w:val="32"/>
        </w:rPr>
        <w:t>项目承担单位负责对项目档案进行收集、整理立卷，及时做好项目建设前、建设中、竣工验收后形成的文字影像与图表资料、项目财务管理等资料的收集、整理、组卷和存档工作，实现档案资料管理的数字化和信息化。与项目建设有关的重要活动、记载项目建设主要过程和现状、具有保存价值的各种载体的文件均属于归档范围。归档文件应字迹清楚、图样清晰、签字盖章手续完备；归档的影像资料均应标注事由、时间、地点、任务、作者等内容，要求图像清晰、声音清楚、文字说明或内容准确。</w:t>
      </w:r>
    </w:p>
    <w:p>
      <w:pPr>
        <w:pStyle w:val="5"/>
      </w:pPr>
      <w:r>
        <w:rPr>
          <w:rFonts w:hint="eastAsia"/>
        </w:rPr>
        <w:t>做好工程移交</w:t>
      </w:r>
    </w:p>
    <w:p>
      <w:pPr>
        <w:overflowPunct w:val="0"/>
        <w:spacing w:line="600" w:lineRule="exact"/>
        <w:ind w:firstLine="640"/>
        <w:jc w:val="both"/>
        <w:rPr>
          <w:sz w:val="32"/>
          <w:szCs w:val="32"/>
        </w:rPr>
      </w:pPr>
      <w:r>
        <w:rPr>
          <w:rFonts w:hint="eastAsia"/>
          <w:sz w:val="32"/>
          <w:szCs w:val="32"/>
        </w:rPr>
        <w:t>工程竣工验收后，及时按照有关规定办理交付利用手续，做好登记造册，明确工程设施的所有权和使用权。需要变更权属的，及时办理变更登记发证，确保建成后的高标准农田权属清晰。</w:t>
      </w:r>
    </w:p>
    <w:p>
      <w:pPr>
        <w:pStyle w:val="4"/>
      </w:pPr>
      <w:bookmarkStart w:id="91" w:name="_Toc101043914"/>
      <w:bookmarkStart w:id="92" w:name="_Toc26901"/>
      <w:bookmarkStart w:id="93" w:name="_Toc114850802"/>
      <w:r>
        <w:rPr>
          <w:rFonts w:hint="eastAsia"/>
        </w:rPr>
        <w:t>加强建后管护</w:t>
      </w:r>
      <w:bookmarkEnd w:id="91"/>
      <w:bookmarkEnd w:id="92"/>
      <w:bookmarkEnd w:id="93"/>
    </w:p>
    <w:p>
      <w:pPr>
        <w:pStyle w:val="5"/>
      </w:pPr>
      <w:r>
        <w:rPr>
          <w:rFonts w:hint="eastAsia"/>
        </w:rPr>
        <w:t>确定管护责任单位</w:t>
      </w:r>
    </w:p>
    <w:p>
      <w:pPr>
        <w:overflowPunct w:val="0"/>
        <w:topLinePunct/>
        <w:spacing w:line="600" w:lineRule="exact"/>
        <w:ind w:firstLine="640"/>
        <w:jc w:val="both"/>
        <w:rPr>
          <w:sz w:val="32"/>
          <w:szCs w:val="32"/>
        </w:rPr>
      </w:pPr>
      <w:r>
        <w:rPr>
          <w:rFonts w:hint="eastAsia"/>
          <w:sz w:val="32"/>
          <w:szCs w:val="32"/>
        </w:rPr>
        <w:t>项目所在地村民委员会为后期管护责任的主体单位，村长为第一责任人，主要负责项目工程、后期管护工作的开展。项目所在乡镇政府（街道办事处）主要负责对后期管护工作进行指导、督促和检查。纳入后期管护的所有高标准农田建设项目申报立项前，必须经项目实施竣工验收交付使用后的村民集体经济组织确认，否则不予立项。</w:t>
      </w:r>
    </w:p>
    <w:p>
      <w:pPr>
        <w:pStyle w:val="5"/>
      </w:pPr>
      <w:r>
        <w:rPr>
          <w:rFonts w:hint="eastAsia"/>
        </w:rPr>
        <w:t>后期管护的基本原则</w:t>
      </w:r>
    </w:p>
    <w:p>
      <w:pPr>
        <w:overflowPunct w:val="0"/>
        <w:topLinePunct/>
        <w:spacing w:line="600" w:lineRule="exact"/>
        <w:ind w:firstLine="640"/>
        <w:jc w:val="both"/>
        <w:rPr>
          <w:sz w:val="32"/>
          <w:szCs w:val="32"/>
        </w:rPr>
      </w:pPr>
      <w:r>
        <w:rPr>
          <w:rFonts w:hint="eastAsia"/>
          <w:sz w:val="32"/>
          <w:szCs w:val="32"/>
        </w:rPr>
        <w:t>一是坚持乡镇（街道）督促、部门指导、村组织实施、群众参与；二是确保项目区基础设施的长效使用，维护项目区群众的利益；三是坚持责、权、利相统一，明确后期管护各方的利益与责任；四是坚持因地制宜的原则，积极探索后期管护新机制，扎实有效地做好后期管护工作。</w:t>
      </w:r>
    </w:p>
    <w:p>
      <w:pPr>
        <w:pStyle w:val="5"/>
      </w:pPr>
      <w:r>
        <w:rPr>
          <w:rFonts w:hint="eastAsia"/>
        </w:rPr>
        <w:t>后期管护的内容</w:t>
      </w:r>
    </w:p>
    <w:p>
      <w:pPr>
        <w:overflowPunct w:val="0"/>
        <w:topLinePunct/>
        <w:spacing w:line="600" w:lineRule="exact"/>
        <w:ind w:firstLine="640"/>
        <w:jc w:val="both"/>
        <w:rPr>
          <w:sz w:val="32"/>
          <w:szCs w:val="32"/>
        </w:rPr>
      </w:pPr>
      <w:r>
        <w:rPr>
          <w:rFonts w:hint="eastAsia"/>
          <w:sz w:val="32"/>
          <w:szCs w:val="32"/>
        </w:rPr>
        <w:t>一是灌溉与排水工程管护，保证沟渠、桥涵、闸、排灌站、井房、蓄水池、水坝、配电等设施的完备，能够正常使用；二是田间道路、农田防护工程管护，保证道路系统完整，通行顺畅，防护工程充分发挥作用；三是开发整理后新增耕地管护，保证新增耕地的数量与质量；确保不发生挖沙取土、植树和挖塘养鱼等破坏耕地行为，不出现弃耕、抛荒现象；四是项目公示牌、标志牌、交通警示等标志牌管护，保证完好、清晰；五是其他需要管护的内容。</w:t>
      </w:r>
    </w:p>
    <w:p>
      <w:pPr>
        <w:pStyle w:val="5"/>
      </w:pPr>
      <w:r>
        <w:rPr>
          <w:rFonts w:hint="eastAsia"/>
          <w:w w:val="95"/>
        </w:rPr>
        <w:t>后期管护的方式</w:t>
      </w:r>
    </w:p>
    <w:p>
      <w:pPr>
        <w:overflowPunct w:val="0"/>
        <w:topLinePunct/>
        <w:spacing w:line="600" w:lineRule="exact"/>
        <w:ind w:firstLine="640"/>
        <w:jc w:val="both"/>
        <w:rPr>
          <w:sz w:val="32"/>
          <w:szCs w:val="32"/>
        </w:rPr>
      </w:pPr>
      <w:r>
        <w:rPr>
          <w:rFonts w:hint="eastAsia"/>
          <w:sz w:val="32"/>
          <w:szCs w:val="32"/>
        </w:rPr>
        <w:t>一是高标准农田项目竣工验收合格后，由项目承担单位会同项目区所在乡镇（街道）、村办理项目的移交手续，并由乡镇政府（街道办事处）、村委会、工程施工单位、项目承担单位四方在移交表上签字确认，并明确后期管护起止时间、范围、内容，管护起止时间，管护各方的权利、义务，具体的管护方法、措施，责任追究等；二是后期管护工作具体由项目所在地村委会负责落实，对跨乡镇（街道）、村的高标准农田项目，按照项目申报立项前落实的土地权属及面积分摊管理。村委会在项目承担单位及乡镇政府（街道办事处）的监督指导下，签订责权明确的后期管护协议，并报送项目承担单位存档；三是项目承担单位对后期管护工作进行定期、不定期的目常巡查和专项检查，督促村委会及土地承包经营人按协议落实好后期管护责任。</w:t>
      </w:r>
    </w:p>
    <w:p>
      <w:pPr>
        <w:pStyle w:val="5"/>
      </w:pPr>
      <w:r>
        <w:rPr>
          <w:rFonts w:hint="eastAsia"/>
        </w:rPr>
        <w:t>后期管护的具体事宜</w:t>
      </w:r>
    </w:p>
    <w:p>
      <w:pPr>
        <w:overflowPunct w:val="0"/>
        <w:topLinePunct/>
        <w:spacing w:line="600" w:lineRule="exact"/>
        <w:ind w:firstLine="640"/>
        <w:jc w:val="both"/>
        <w:rPr>
          <w:sz w:val="32"/>
          <w:szCs w:val="32"/>
        </w:rPr>
      </w:pPr>
      <w:r>
        <w:rPr>
          <w:rFonts w:hint="eastAsia"/>
          <w:sz w:val="32"/>
          <w:szCs w:val="32"/>
        </w:rPr>
        <w:t>项目的后期管护实行义务管护，项目所在乡镇（街道）应按照“谁使用、谁管护，谁受益、谁负担”的原则，建立管护制度，落实管护责任，切实做好工程后期管护工作。项目移交管护管理办法由项目所在地区人民政府制定。项目竣工验收前，项目承担单位应按区人民政府的规定，与项目接收管护单位签定项目资产移交管护协议。项目竣工验收合格后，项目承担单位应提供项目资产移交清单，移交给接收管护单位。最后由区人民政府组织自然资源部门和农业部门对管护期的项目进行检查，主要检查土地权属是否清晰、是否签订后期管护协、管护人员是否发生变更、各项工程设施是否完好及能否正常运转、耕地是否种植、土地利用率及产出率是否高效、土壤肥沃程度是否有所提高等。</w:t>
      </w:r>
    </w:p>
    <w:p>
      <w:pPr>
        <w:pStyle w:val="5"/>
      </w:pPr>
      <w:r>
        <w:rPr>
          <w:rFonts w:hint="eastAsia"/>
        </w:rPr>
        <w:t>损毁工程的维修</w:t>
      </w:r>
    </w:p>
    <w:p>
      <w:pPr>
        <w:overflowPunct w:val="0"/>
        <w:topLinePunct/>
        <w:spacing w:line="600" w:lineRule="exact"/>
        <w:ind w:firstLine="640"/>
        <w:jc w:val="both"/>
        <w:rPr>
          <w:sz w:val="32"/>
          <w:szCs w:val="32"/>
        </w:rPr>
      </w:pPr>
      <w:r>
        <w:rPr>
          <w:rFonts w:hint="eastAsia"/>
          <w:sz w:val="32"/>
          <w:szCs w:val="32"/>
        </w:rPr>
        <w:t>高标准农田建设的施工单位应确保工程质量，项目交付使用二年内因质量问题出现工程损毁的，由施工单位无偿进行整改。因自然、人为等因素，造成地坎垮塌的，由管护人员自行修整。</w:t>
      </w:r>
    </w:p>
    <w:p>
      <w:pPr>
        <w:pStyle w:val="5"/>
      </w:pPr>
      <w:r>
        <w:rPr>
          <w:rFonts w:hint="eastAsia"/>
        </w:rPr>
        <w:t>各单位的职责</w:t>
      </w:r>
    </w:p>
    <w:p>
      <w:pPr>
        <w:overflowPunct w:val="0"/>
        <w:topLinePunct/>
        <w:spacing w:line="600" w:lineRule="exact"/>
        <w:ind w:firstLine="640"/>
        <w:jc w:val="both"/>
        <w:rPr>
          <w:sz w:val="32"/>
          <w:szCs w:val="32"/>
        </w:rPr>
      </w:pPr>
      <w:r>
        <w:rPr>
          <w:rFonts w:hint="eastAsia"/>
          <w:sz w:val="32"/>
          <w:szCs w:val="32"/>
        </w:rPr>
        <w:t>项目承担单位的职责：一是项目竣工验收合格后，会同项目所在地乡镇政府（街道办事处）将项目资产及后期管护工作移交给项目区所在地村委会；二是负责解答和解决项目区村委会在管护工作中遇到的业务、技术性问题；三是负责协调并解决因项目工程质量造成的问题；四是组织技术人员定期检查工程使用、管护情况；五是对管护工作进行定期、不定期的日常巡查和专项检查。</w:t>
      </w:r>
    </w:p>
    <w:p>
      <w:pPr>
        <w:overflowPunct w:val="0"/>
        <w:topLinePunct/>
        <w:spacing w:line="600" w:lineRule="exact"/>
        <w:ind w:firstLine="640"/>
        <w:jc w:val="both"/>
        <w:rPr>
          <w:sz w:val="32"/>
          <w:szCs w:val="32"/>
        </w:rPr>
      </w:pPr>
      <w:r>
        <w:rPr>
          <w:rFonts w:hint="eastAsia"/>
          <w:sz w:val="32"/>
          <w:szCs w:val="32"/>
        </w:rPr>
        <w:t>项目所在地乡镇政府（街道办事处）的职责：一是领导、督促后期管护工作的积极开展；二是配合项目承担单位做好后期管护的移交工作；三是要加强项目实施后土地利用情况的监督检查，确保工程长期发挥效益，防止耕地撂荒。</w:t>
      </w:r>
    </w:p>
    <w:p>
      <w:pPr>
        <w:overflowPunct w:val="0"/>
        <w:topLinePunct/>
        <w:spacing w:line="600" w:lineRule="exact"/>
        <w:ind w:firstLine="640"/>
        <w:jc w:val="both"/>
        <w:rPr>
          <w:sz w:val="32"/>
          <w:szCs w:val="32"/>
        </w:rPr>
      </w:pPr>
      <w:r>
        <w:rPr>
          <w:rFonts w:hint="eastAsia"/>
          <w:sz w:val="32"/>
          <w:szCs w:val="32"/>
        </w:rPr>
        <w:t>项目所在地村委会的职责：一是负责对项目的选址、工程可行性、项目实施后的后期管护进行落实；二是制止各种破坏项目工程及耕地行为，保持各种工程设施能够正常运行、使用，确保项目区内耕地用于农作物种植；三是对在管护期内管护人员不按协议约定进行耕种的，依法解除协议，并重新安排管护人员进行耕种，确保项目区内耕地不闲置、荒芜；四是工程出现损毁的，及时向乡镇政府（街道办事处）、项目承担单位报告；五是地坎出现垮塌的，督促管护人员自行修整；老师接受有关部门的监督和检查。</w:t>
      </w:r>
    </w:p>
    <w:p>
      <w:pPr>
        <w:overflowPunct w:val="0"/>
        <w:topLinePunct/>
        <w:spacing w:line="600" w:lineRule="exact"/>
        <w:ind w:firstLine="640"/>
        <w:jc w:val="both"/>
        <w:rPr>
          <w:sz w:val="32"/>
          <w:szCs w:val="32"/>
        </w:rPr>
      </w:pPr>
      <w:r>
        <w:rPr>
          <w:rFonts w:hint="eastAsia"/>
          <w:sz w:val="32"/>
          <w:szCs w:val="32"/>
        </w:rPr>
        <w:t>土地承包经营人的职责：一是严格根据后期管护协议，对承包范围内耕地、工程设施（含周边工程设施）进行管护；二是对各种破坏工程设施及耕地的行为进行制止，并及时报告村委会；三是工程出现损毁的，及时报告村委会；四是地坎出现垮塌的，及时修整；五是不闲置、荒芜承包经营地，倡导绿色耕种，多施农家肥、少施无机肥，切实提高地力。</w:t>
      </w:r>
    </w:p>
    <w:p>
      <w:pPr>
        <w:pStyle w:val="5"/>
      </w:pPr>
      <w:r>
        <w:rPr>
          <w:rFonts w:hint="eastAsia"/>
        </w:rPr>
        <w:t>责任追究</w:t>
      </w:r>
    </w:p>
    <w:p>
      <w:pPr>
        <w:overflowPunct w:val="0"/>
        <w:topLinePunct/>
        <w:spacing w:line="600" w:lineRule="exact"/>
        <w:ind w:firstLine="640"/>
        <w:jc w:val="both"/>
        <w:rPr>
          <w:sz w:val="32"/>
          <w:szCs w:val="32"/>
        </w:rPr>
      </w:pPr>
      <w:r>
        <w:rPr>
          <w:rFonts w:hint="eastAsia"/>
          <w:sz w:val="32"/>
          <w:szCs w:val="32"/>
        </w:rPr>
        <w:t>一是对签订有后期管护协议而未落实管护工作，导致项目区耕地弃耕、抛荒的，由当地乡镇政府（街道办事处）对村委会进行通报批评，并责令项目所在地村委会主要负责人依法重新落实管护人员。二是对落实了管护人员，但管护人员不按既定用途使用土地的，村委会应依法收回承包土地并重新组织对外承包。</w:t>
      </w:r>
    </w:p>
    <w:p>
      <w:pPr>
        <w:pStyle w:val="4"/>
      </w:pPr>
      <w:bookmarkStart w:id="94" w:name="_Toc114661635"/>
      <w:bookmarkStart w:id="95" w:name="_Toc114125160"/>
      <w:bookmarkStart w:id="96" w:name="_Toc114850803"/>
      <w:r>
        <w:rPr>
          <w:rFonts w:hint="eastAsia"/>
        </w:rPr>
        <w:t>严格保护利用</w:t>
      </w:r>
      <w:bookmarkEnd w:id="94"/>
      <w:bookmarkEnd w:id="95"/>
      <w:bookmarkEnd w:id="96"/>
    </w:p>
    <w:p>
      <w:pPr>
        <w:overflowPunct w:val="0"/>
        <w:spacing w:line="600" w:lineRule="exact"/>
        <w:ind w:firstLine="640"/>
        <w:jc w:val="both"/>
        <w:rPr>
          <w:sz w:val="32"/>
          <w:szCs w:val="32"/>
        </w:rPr>
      </w:pPr>
      <w:r>
        <w:rPr>
          <w:rFonts w:hint="eastAsia"/>
          <w:sz w:val="32"/>
          <w:szCs w:val="32"/>
        </w:rPr>
        <w:t>区政府要统筹谋划，严把土地使用立项并确保将已建成的高标准农田划为永久基本农田，实行特殊保护，遏制“非农化”、防止“非粮化”，任何单位和个人不得损毁、擅自占用或改变用途。严格耕地占用审批，对于经依法批准占用高标准农田的，要遵循“占补平衡”的原则及时进行补充，确保高标准农田数量不减少、质量不降低。</w:t>
      </w:r>
    </w:p>
    <w:p>
      <w:pPr>
        <w:overflowPunct w:val="0"/>
        <w:spacing w:line="600" w:lineRule="exact"/>
        <w:ind w:firstLine="640"/>
        <w:jc w:val="both"/>
        <w:rPr>
          <w:sz w:val="32"/>
          <w:szCs w:val="32"/>
        </w:rPr>
      </w:pPr>
      <w:r>
        <w:rPr>
          <w:rFonts w:hint="eastAsia"/>
          <w:sz w:val="32"/>
          <w:szCs w:val="32"/>
        </w:rPr>
        <w:t>统筹粮食增产、农民增收和耕地保护之间的关系，大力推广保护性耕作制度，实行用地、养地相结合，在保护中利用、在利用中保护。加强后续培肥，防止地力下降，确保可持续利用。将水毁等自然损毁的高标准农田纳入建设任务，及时进行修复或补充。严禁将不达标的污水排入农田，严禁将生活垃圾、工业废弃物等倾倒、排放、存放到农田。</w:t>
      </w:r>
    </w:p>
    <w:p>
      <w:pPr>
        <w:overflowPunct w:val="0"/>
        <w:spacing w:line="600" w:lineRule="exact"/>
        <w:ind w:firstLine="640"/>
        <w:jc w:val="both"/>
        <w:rPr>
          <w:sz w:val="32"/>
          <w:szCs w:val="32"/>
        </w:rPr>
      </w:pPr>
      <w:r>
        <w:rPr>
          <w:rFonts w:hint="eastAsia"/>
          <w:sz w:val="32"/>
          <w:szCs w:val="32"/>
        </w:rPr>
        <w:t>完善粮食主产区利益补偿机制，健全农田种粮激励政策，保障农民种粮合理收益，调动乡镇政府（街道办事处）重农抓粮积极性和农民种粮积极性。</w:t>
      </w:r>
    </w:p>
    <w:p>
      <w:pPr>
        <w:overflowPunct w:val="0"/>
        <w:topLinePunct/>
        <w:spacing w:line="600" w:lineRule="exact"/>
        <w:ind w:firstLine="560"/>
        <w:rPr>
          <w:sz w:val="32"/>
          <w:szCs w:val="32"/>
        </w:rPr>
      </w:pPr>
      <w:r>
        <w:br w:type="page"/>
      </w:r>
    </w:p>
    <w:p>
      <w:pPr>
        <w:pStyle w:val="3"/>
        <w:rPr>
          <w:rFonts w:ascii="Times New Roman"/>
        </w:rPr>
      </w:pPr>
      <w:bookmarkStart w:id="97" w:name="bookmark144"/>
      <w:bookmarkStart w:id="98" w:name="bookmark146"/>
      <w:bookmarkStart w:id="99" w:name="_Toc114850804"/>
      <w:bookmarkStart w:id="100" w:name="bookmark145"/>
      <w:r>
        <w:rPr>
          <w:rFonts w:hint="eastAsia" w:ascii="Times New Roman"/>
        </w:rPr>
        <w:t>效益分析</w:t>
      </w:r>
      <w:bookmarkEnd w:id="97"/>
      <w:bookmarkEnd w:id="98"/>
      <w:bookmarkEnd w:id="99"/>
      <w:bookmarkEnd w:id="100"/>
    </w:p>
    <w:p>
      <w:pPr>
        <w:pStyle w:val="4"/>
      </w:pPr>
      <w:bookmarkStart w:id="101" w:name="_Toc114850805"/>
      <w:r>
        <w:rPr>
          <w:rFonts w:hint="eastAsia"/>
        </w:rPr>
        <w:t>经</w:t>
      </w:r>
      <w:bookmarkStart w:id="102" w:name="_Toc101043916"/>
      <w:r>
        <w:rPr>
          <w:rFonts w:hint="eastAsia"/>
        </w:rPr>
        <w:t>经济效益</w:t>
      </w:r>
      <w:bookmarkEnd w:id="101"/>
      <w:bookmarkEnd w:id="102"/>
    </w:p>
    <w:p>
      <w:pPr>
        <w:overflowPunct w:val="0"/>
        <w:topLinePunct/>
        <w:spacing w:line="600" w:lineRule="exact"/>
        <w:ind w:firstLine="640"/>
        <w:jc w:val="both"/>
        <w:rPr>
          <w:sz w:val="32"/>
          <w:szCs w:val="32"/>
        </w:rPr>
      </w:pPr>
      <w:r>
        <w:rPr>
          <w:rFonts w:hint="eastAsia"/>
          <w:sz w:val="32"/>
          <w:szCs w:val="32"/>
        </w:rPr>
        <w:t>根据九台区高标准农田建设的实践结果，本规划实施后，规划区域的农业生产效率和效益将明显提升。</w:t>
      </w:r>
      <w:r>
        <w:rPr>
          <w:sz w:val="32"/>
          <w:szCs w:val="32"/>
        </w:rPr>
        <w:t>新增建设高标准农田亩均提高粮食综合产能100</w:t>
      </w:r>
      <w:r>
        <w:rPr>
          <w:rFonts w:hint="eastAsia"/>
          <w:sz w:val="32"/>
          <w:szCs w:val="32"/>
        </w:rPr>
        <w:t>-</w:t>
      </w:r>
      <w:r>
        <w:rPr>
          <w:sz w:val="32"/>
          <w:szCs w:val="32"/>
        </w:rPr>
        <w:t>120</w:t>
      </w:r>
      <w:r>
        <w:rPr>
          <w:rFonts w:hint="eastAsia"/>
          <w:sz w:val="32"/>
          <w:szCs w:val="32"/>
        </w:rPr>
        <w:t>公</w:t>
      </w:r>
      <w:r>
        <w:rPr>
          <w:sz w:val="32"/>
          <w:szCs w:val="32"/>
        </w:rPr>
        <w:t>斤</w:t>
      </w:r>
      <w:r>
        <w:rPr>
          <w:rFonts w:hint="eastAsia"/>
          <w:sz w:val="32"/>
          <w:szCs w:val="32"/>
        </w:rPr>
        <w:t>；</w:t>
      </w:r>
      <w:r>
        <w:rPr>
          <w:sz w:val="32"/>
          <w:szCs w:val="32"/>
        </w:rPr>
        <w:t>改造提升高标准农田亩均提高粮食综合产能60</w:t>
      </w:r>
      <w:r>
        <w:rPr>
          <w:rFonts w:hint="eastAsia"/>
          <w:sz w:val="32"/>
          <w:szCs w:val="32"/>
        </w:rPr>
        <w:t>-</w:t>
      </w:r>
      <w:r>
        <w:rPr>
          <w:sz w:val="32"/>
          <w:szCs w:val="32"/>
        </w:rPr>
        <w:t>80</w:t>
      </w:r>
      <w:r>
        <w:rPr>
          <w:rFonts w:hint="eastAsia"/>
          <w:sz w:val="32"/>
          <w:szCs w:val="32"/>
        </w:rPr>
        <w:t>公斤</w:t>
      </w:r>
      <w:r>
        <w:rPr>
          <w:sz w:val="32"/>
          <w:szCs w:val="32"/>
        </w:rPr>
        <w:t>。</w:t>
      </w:r>
      <w:r>
        <w:rPr>
          <w:rFonts w:hint="eastAsia"/>
          <w:sz w:val="32"/>
          <w:szCs w:val="32"/>
        </w:rPr>
        <w:t>还可通过节本增收，带动农民增收，增加规划区农民投工投劳的机会，提高农民收入，项目区内</w:t>
      </w:r>
      <w:r>
        <w:rPr>
          <w:sz w:val="32"/>
          <w:szCs w:val="32"/>
        </w:rPr>
        <w:t>每亩耕地平均每年增收节支约500元。</w:t>
      </w:r>
    </w:p>
    <w:p>
      <w:pPr>
        <w:pStyle w:val="2"/>
        <w:spacing w:after="0" w:line="240" w:lineRule="auto"/>
        <w:ind w:left="0" w:leftChars="0" w:firstLine="0" w:firstLineChars="0"/>
        <w:jc w:val="both"/>
        <w:rPr>
          <w:b/>
          <w:bCs/>
          <w:szCs w:val="28"/>
        </w:rPr>
      </w:pPr>
      <w:r>
        <w:rPr>
          <w:rFonts w:hint="eastAsia"/>
          <w:b/>
          <w:bCs/>
          <w:szCs w:val="28"/>
        </w:rPr>
        <w:t>表</w:t>
      </w:r>
      <w:r>
        <w:rPr>
          <w:b/>
          <w:bCs/>
          <w:szCs w:val="28"/>
        </w:rPr>
        <w:t>7</w:t>
      </w:r>
      <w:r>
        <w:rPr>
          <w:rFonts w:hint="eastAsia"/>
          <w:b/>
          <w:bCs/>
          <w:szCs w:val="28"/>
        </w:rPr>
        <w:t>-1</w:t>
      </w:r>
      <w:r>
        <w:rPr>
          <w:b/>
          <w:bCs/>
          <w:szCs w:val="28"/>
        </w:rPr>
        <w:t xml:space="preserve">                     提高粮食综合产能及农民增收、节支情况</w:t>
      </w:r>
      <w:r>
        <w:rPr>
          <w:rFonts w:hint="eastAsia"/>
          <w:b/>
          <w:bCs/>
          <w:szCs w:val="28"/>
        </w:rPr>
        <w:t>表</w:t>
      </w:r>
    </w:p>
    <w:tbl>
      <w:tblPr>
        <w:tblStyle w:val="29"/>
        <w:tblW w:w="5000" w:type="pct"/>
        <w:jc w:val="center"/>
        <w:tblLayout w:type="fixed"/>
        <w:tblCellMar>
          <w:top w:w="0" w:type="dxa"/>
          <w:left w:w="108" w:type="dxa"/>
          <w:bottom w:w="0" w:type="dxa"/>
          <w:right w:w="108" w:type="dxa"/>
        </w:tblCellMar>
      </w:tblPr>
      <w:tblGrid>
        <w:gridCol w:w="751"/>
        <w:gridCol w:w="2335"/>
        <w:gridCol w:w="2409"/>
        <w:gridCol w:w="2551"/>
        <w:gridCol w:w="1185"/>
      </w:tblGrid>
      <w:tr>
        <w:tblPrEx>
          <w:tblCellMar>
            <w:top w:w="0" w:type="dxa"/>
            <w:left w:w="108" w:type="dxa"/>
            <w:bottom w:w="0" w:type="dxa"/>
            <w:right w:w="108" w:type="dxa"/>
          </w:tblCellMar>
        </w:tblPrEx>
        <w:trPr>
          <w:trHeight w:val="340" w:hRule="atLeast"/>
          <w:jc w:val="center"/>
        </w:trPr>
        <w:tc>
          <w:tcPr>
            <w:tcW w:w="406"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cs="Times New Roman"/>
                <w:b/>
                <w:bCs/>
                <w:szCs w:val="28"/>
              </w:rPr>
            </w:pPr>
            <w:r>
              <w:rPr>
                <w:rFonts w:cs="Times New Roman"/>
                <w:b/>
                <w:bCs/>
                <w:szCs w:val="28"/>
              </w:rPr>
              <w:t>序号</w:t>
            </w:r>
          </w:p>
        </w:tc>
        <w:tc>
          <w:tcPr>
            <w:tcW w:w="126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b/>
                <w:bCs/>
                <w:szCs w:val="28"/>
              </w:rPr>
            </w:pPr>
            <w:r>
              <w:rPr>
                <w:rFonts w:cs="Times New Roman"/>
                <w:b/>
                <w:bCs/>
                <w:szCs w:val="28"/>
              </w:rPr>
              <w:t>主要指标</w:t>
            </w: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b/>
                <w:bCs/>
                <w:szCs w:val="28"/>
              </w:rPr>
            </w:pPr>
            <w:r>
              <w:rPr>
                <w:rFonts w:cs="Times New Roman"/>
                <w:b/>
                <w:bCs/>
                <w:szCs w:val="28"/>
              </w:rPr>
              <w:t>说明</w:t>
            </w:r>
          </w:p>
        </w:tc>
        <w:tc>
          <w:tcPr>
            <w:tcW w:w="138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b/>
                <w:bCs/>
                <w:szCs w:val="28"/>
              </w:rPr>
            </w:pPr>
            <w:r>
              <w:rPr>
                <w:rFonts w:cs="Times New Roman"/>
                <w:b/>
                <w:bCs/>
                <w:szCs w:val="28"/>
              </w:rPr>
              <w:t>目标值</w:t>
            </w:r>
          </w:p>
        </w:tc>
        <w:tc>
          <w:tcPr>
            <w:tcW w:w="64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b/>
                <w:bCs/>
                <w:szCs w:val="28"/>
              </w:rPr>
            </w:pPr>
            <w:r>
              <w:rPr>
                <w:rFonts w:cs="Times New Roman"/>
                <w:b/>
                <w:bCs/>
                <w:szCs w:val="28"/>
              </w:rPr>
              <w:t>属性</w:t>
            </w:r>
          </w:p>
        </w:tc>
      </w:tr>
      <w:tr>
        <w:tblPrEx>
          <w:tblCellMar>
            <w:top w:w="0" w:type="dxa"/>
            <w:left w:w="108" w:type="dxa"/>
            <w:bottom w:w="0" w:type="dxa"/>
            <w:right w:w="108" w:type="dxa"/>
          </w:tblCellMar>
        </w:tblPrEx>
        <w:trPr>
          <w:trHeight w:val="340" w:hRule="atLeast"/>
          <w:jc w:val="center"/>
        </w:trPr>
        <w:tc>
          <w:tcPr>
            <w:tcW w:w="406" w:type="pct"/>
            <w:vMerge w:val="restart"/>
            <w:tcBorders>
              <w:top w:val="nil"/>
              <w:left w:val="single" w:color="000000" w:sz="4" w:space="0"/>
              <w:bottom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1</w:t>
            </w:r>
          </w:p>
        </w:tc>
        <w:tc>
          <w:tcPr>
            <w:tcW w:w="1265" w:type="pct"/>
            <w:vMerge w:val="restart"/>
            <w:tcBorders>
              <w:top w:val="nil"/>
              <w:left w:val="nil"/>
              <w:bottom w:val="nil"/>
              <w:right w:val="single" w:color="000000" w:sz="4" w:space="0"/>
            </w:tcBorders>
            <w:vAlign w:val="center"/>
          </w:tcPr>
          <w:p>
            <w:pPr>
              <w:spacing w:line="240" w:lineRule="auto"/>
              <w:ind w:firstLine="0" w:firstLineChars="0"/>
              <w:jc w:val="center"/>
              <w:rPr>
                <w:rFonts w:cs="Times New Roman"/>
                <w:szCs w:val="28"/>
              </w:rPr>
            </w:pPr>
            <w:r>
              <w:rPr>
                <w:rFonts w:cs="Times New Roman"/>
                <w:szCs w:val="28"/>
              </w:rPr>
              <w:t>亩均提高粮食综合产能</w:t>
            </w: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新增建设项目</w:t>
            </w:r>
          </w:p>
        </w:tc>
        <w:tc>
          <w:tcPr>
            <w:tcW w:w="138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100-120</w:t>
            </w:r>
            <w:r>
              <w:rPr>
                <w:rFonts w:hint="eastAsia" w:cs="Times New Roman"/>
                <w:szCs w:val="28"/>
              </w:rPr>
              <w:t>公</w:t>
            </w:r>
            <w:r>
              <w:rPr>
                <w:rFonts w:cs="Times New Roman"/>
                <w:szCs w:val="28"/>
              </w:rPr>
              <w:t>斤/亩</w:t>
            </w:r>
          </w:p>
        </w:tc>
        <w:tc>
          <w:tcPr>
            <w:tcW w:w="642" w:type="pct"/>
            <w:vMerge w:val="restart"/>
            <w:tcBorders>
              <w:top w:val="single" w:color="000000" w:sz="4" w:space="0"/>
              <w:left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预期性</w:t>
            </w:r>
          </w:p>
        </w:tc>
      </w:tr>
      <w:tr>
        <w:tblPrEx>
          <w:tblCellMar>
            <w:top w:w="0" w:type="dxa"/>
            <w:left w:w="108" w:type="dxa"/>
            <w:bottom w:w="0" w:type="dxa"/>
            <w:right w:w="108" w:type="dxa"/>
          </w:tblCellMar>
        </w:tblPrEx>
        <w:trPr>
          <w:trHeight w:val="340" w:hRule="atLeast"/>
          <w:jc w:val="center"/>
        </w:trPr>
        <w:tc>
          <w:tcPr>
            <w:tcW w:w="406"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rPr>
                <w:rFonts w:cs="Times New Roman"/>
                <w:szCs w:val="28"/>
              </w:rPr>
            </w:pPr>
          </w:p>
        </w:tc>
        <w:tc>
          <w:tcPr>
            <w:tcW w:w="1265" w:type="pct"/>
            <w:vMerge w:val="continue"/>
            <w:tcBorders>
              <w:top w:val="nil"/>
              <w:left w:val="nil"/>
              <w:bottom w:val="nil"/>
              <w:right w:val="single" w:color="000000" w:sz="4" w:space="0"/>
            </w:tcBorders>
            <w:vAlign w:val="center"/>
          </w:tcPr>
          <w:p>
            <w:pPr>
              <w:widowControl/>
              <w:adjustRightInd/>
              <w:snapToGrid/>
              <w:spacing w:line="240" w:lineRule="auto"/>
              <w:ind w:firstLine="0" w:firstLineChars="0"/>
              <w:rPr>
                <w:rFonts w:cs="Times New Roman"/>
                <w:szCs w:val="28"/>
              </w:rPr>
            </w:pP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改造提升项目</w:t>
            </w:r>
          </w:p>
        </w:tc>
        <w:tc>
          <w:tcPr>
            <w:tcW w:w="138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60-80</w:t>
            </w:r>
            <w:r>
              <w:rPr>
                <w:rFonts w:hint="eastAsia" w:cs="Times New Roman"/>
                <w:szCs w:val="28"/>
              </w:rPr>
              <w:t>公</w:t>
            </w:r>
            <w:r>
              <w:rPr>
                <w:rFonts w:cs="Times New Roman"/>
                <w:szCs w:val="28"/>
              </w:rPr>
              <w:t>斤/亩</w:t>
            </w:r>
          </w:p>
        </w:tc>
        <w:tc>
          <w:tcPr>
            <w:tcW w:w="642" w:type="pct"/>
            <w:vMerge w:val="continue"/>
            <w:tcBorders>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p>
        </w:tc>
      </w:tr>
      <w:tr>
        <w:tblPrEx>
          <w:tblCellMar>
            <w:top w:w="0" w:type="dxa"/>
            <w:left w:w="108" w:type="dxa"/>
            <w:bottom w:w="0" w:type="dxa"/>
            <w:right w:w="108" w:type="dxa"/>
          </w:tblCellMar>
        </w:tblPrEx>
        <w:trPr>
          <w:trHeight w:val="340" w:hRule="atLeast"/>
          <w:jc w:val="center"/>
        </w:trPr>
        <w:tc>
          <w:tcPr>
            <w:tcW w:w="406"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2</w:t>
            </w:r>
          </w:p>
        </w:tc>
        <w:tc>
          <w:tcPr>
            <w:tcW w:w="126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2025年新增粮食综合产能</w:t>
            </w: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相比2020年</w:t>
            </w:r>
          </w:p>
        </w:tc>
        <w:tc>
          <w:tcPr>
            <w:tcW w:w="1382" w:type="pct"/>
            <w:tcBorders>
              <w:top w:val="single" w:color="000000" w:sz="4" w:space="0"/>
              <w:left w:val="nil"/>
              <w:bottom w:val="single" w:color="000000" w:sz="4" w:space="0"/>
              <w:right w:val="single" w:color="000000" w:sz="4" w:space="0"/>
            </w:tcBorders>
            <w:noWrap/>
            <w:vAlign w:val="center"/>
          </w:tcPr>
          <w:p>
            <w:pPr>
              <w:widowControl/>
              <w:adjustRightInd/>
              <w:snapToGrid/>
              <w:spacing w:line="240" w:lineRule="auto"/>
              <w:ind w:firstLine="0" w:firstLineChars="0"/>
              <w:jc w:val="center"/>
              <w:rPr>
                <w:rFonts w:eastAsia="宋体" w:cs="宋体"/>
                <w:kern w:val="0"/>
                <w:sz w:val="24"/>
              </w:rPr>
            </w:pPr>
            <w:r>
              <w:t>1.16</w:t>
            </w:r>
            <w:r>
              <w:rPr>
                <w:rFonts w:hint="eastAsia"/>
              </w:rPr>
              <w:t>亿</w:t>
            </w:r>
            <w:r>
              <w:rPr>
                <w:rFonts w:cs="Times New Roman"/>
                <w:szCs w:val="28"/>
              </w:rPr>
              <w:t>斤</w:t>
            </w:r>
          </w:p>
        </w:tc>
        <w:tc>
          <w:tcPr>
            <w:tcW w:w="64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预期性</w:t>
            </w:r>
          </w:p>
        </w:tc>
      </w:tr>
      <w:tr>
        <w:tblPrEx>
          <w:tblCellMar>
            <w:top w:w="0" w:type="dxa"/>
            <w:left w:w="108" w:type="dxa"/>
            <w:bottom w:w="0" w:type="dxa"/>
            <w:right w:w="108" w:type="dxa"/>
          </w:tblCellMar>
        </w:tblPrEx>
        <w:trPr>
          <w:trHeight w:val="340" w:hRule="atLeast"/>
          <w:jc w:val="center"/>
        </w:trPr>
        <w:tc>
          <w:tcPr>
            <w:tcW w:w="406" w:type="pct"/>
            <w:vMerge w:val="restart"/>
            <w:tcBorders>
              <w:top w:val="nil"/>
              <w:left w:val="single" w:color="000000" w:sz="4" w:space="0"/>
              <w:bottom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3</w:t>
            </w:r>
          </w:p>
        </w:tc>
        <w:tc>
          <w:tcPr>
            <w:tcW w:w="1265" w:type="pct"/>
            <w:vMerge w:val="restart"/>
            <w:tcBorders>
              <w:top w:val="nil"/>
              <w:left w:val="nil"/>
              <w:bottom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2030年新增粮食综合产能</w:t>
            </w: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相比2025年</w:t>
            </w:r>
          </w:p>
        </w:tc>
        <w:tc>
          <w:tcPr>
            <w:tcW w:w="138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0.91</w:t>
            </w:r>
            <w:r>
              <w:rPr>
                <w:rFonts w:hint="eastAsia" w:cs="Times New Roman"/>
                <w:szCs w:val="28"/>
              </w:rPr>
              <w:t>亿</w:t>
            </w:r>
            <w:r>
              <w:rPr>
                <w:rFonts w:cs="Times New Roman"/>
                <w:szCs w:val="28"/>
              </w:rPr>
              <w:t>斤</w:t>
            </w:r>
          </w:p>
        </w:tc>
        <w:tc>
          <w:tcPr>
            <w:tcW w:w="642" w:type="pct"/>
            <w:vMerge w:val="restart"/>
            <w:tcBorders>
              <w:top w:val="single" w:color="000000" w:sz="4" w:space="0"/>
              <w:left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预期性</w:t>
            </w:r>
          </w:p>
        </w:tc>
      </w:tr>
      <w:tr>
        <w:tblPrEx>
          <w:tblCellMar>
            <w:top w:w="0" w:type="dxa"/>
            <w:left w:w="108" w:type="dxa"/>
            <w:bottom w:w="0" w:type="dxa"/>
            <w:right w:w="108" w:type="dxa"/>
          </w:tblCellMar>
        </w:tblPrEx>
        <w:trPr>
          <w:trHeight w:val="340" w:hRule="atLeast"/>
          <w:jc w:val="center"/>
        </w:trPr>
        <w:tc>
          <w:tcPr>
            <w:tcW w:w="406"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rPr>
                <w:rFonts w:cs="Times New Roman"/>
                <w:szCs w:val="28"/>
              </w:rPr>
            </w:pPr>
          </w:p>
        </w:tc>
        <w:tc>
          <w:tcPr>
            <w:tcW w:w="1265" w:type="pct"/>
            <w:vMerge w:val="continue"/>
            <w:tcBorders>
              <w:top w:val="nil"/>
              <w:left w:val="nil"/>
              <w:bottom w:val="nil"/>
              <w:right w:val="single" w:color="000000" w:sz="4" w:space="0"/>
            </w:tcBorders>
            <w:vAlign w:val="center"/>
          </w:tcPr>
          <w:p>
            <w:pPr>
              <w:widowControl/>
              <w:adjustRightInd/>
              <w:snapToGrid/>
              <w:spacing w:line="240" w:lineRule="auto"/>
              <w:ind w:firstLine="0" w:firstLineChars="0"/>
              <w:rPr>
                <w:rFonts w:cs="Times New Roman"/>
                <w:szCs w:val="28"/>
              </w:rPr>
            </w:pPr>
          </w:p>
        </w:tc>
        <w:tc>
          <w:tcPr>
            <w:tcW w:w="1305"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相比2020年</w:t>
            </w:r>
          </w:p>
        </w:tc>
        <w:tc>
          <w:tcPr>
            <w:tcW w:w="1382" w:type="pct"/>
            <w:tcBorders>
              <w:top w:val="single" w:color="000000"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2.07</w:t>
            </w:r>
            <w:r>
              <w:rPr>
                <w:rFonts w:hint="eastAsia" w:cs="Times New Roman"/>
                <w:szCs w:val="28"/>
              </w:rPr>
              <w:t>亿</w:t>
            </w:r>
            <w:r>
              <w:rPr>
                <w:rFonts w:cs="Times New Roman"/>
                <w:szCs w:val="28"/>
              </w:rPr>
              <w:t>斤</w:t>
            </w:r>
          </w:p>
        </w:tc>
        <w:tc>
          <w:tcPr>
            <w:tcW w:w="642" w:type="pct"/>
            <w:vMerge w:val="continue"/>
            <w:tcBorders>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p>
        </w:tc>
      </w:tr>
      <w:tr>
        <w:tblPrEx>
          <w:tblCellMar>
            <w:top w:w="0" w:type="dxa"/>
            <w:left w:w="108" w:type="dxa"/>
            <w:bottom w:w="0" w:type="dxa"/>
            <w:right w:w="108" w:type="dxa"/>
          </w:tblCellMar>
        </w:tblPrEx>
        <w:trPr>
          <w:trHeight w:val="360" w:hRule="atLeast"/>
          <w:jc w:val="center"/>
        </w:trPr>
        <w:tc>
          <w:tcPr>
            <w:tcW w:w="406" w:type="pct"/>
            <w:vMerge w:val="restart"/>
            <w:tcBorders>
              <w:top w:val="single" w:color="000000" w:sz="4" w:space="0"/>
              <w:left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4</w:t>
            </w:r>
          </w:p>
        </w:tc>
        <w:tc>
          <w:tcPr>
            <w:tcW w:w="1265" w:type="pct"/>
            <w:vMerge w:val="restart"/>
            <w:tcBorders>
              <w:top w:val="single" w:color="000000" w:sz="4" w:space="0"/>
              <w:left w:val="nil"/>
              <w:right w:val="single" w:color="000000" w:sz="4" w:space="0"/>
            </w:tcBorders>
            <w:noWrap/>
            <w:vAlign w:val="center"/>
          </w:tcPr>
          <w:p>
            <w:pPr>
              <w:spacing w:line="240" w:lineRule="auto"/>
              <w:ind w:firstLine="0" w:firstLineChars="0"/>
              <w:jc w:val="center"/>
              <w:rPr>
                <w:rFonts w:cs="Times New Roman"/>
                <w:szCs w:val="28"/>
              </w:rPr>
            </w:pPr>
            <w:r>
              <w:rPr>
                <w:rFonts w:hint="eastAsia" w:cs="Times New Roman"/>
                <w:szCs w:val="28"/>
              </w:rPr>
              <w:t>2030年</w:t>
            </w:r>
            <w:r>
              <w:rPr>
                <w:rFonts w:cs="Times New Roman"/>
                <w:szCs w:val="28"/>
              </w:rPr>
              <w:t>农民增收、节支</w:t>
            </w:r>
          </w:p>
        </w:tc>
        <w:tc>
          <w:tcPr>
            <w:tcW w:w="1305" w:type="pct"/>
            <w:tcBorders>
              <w:top w:val="single" w:color="000000" w:sz="4" w:space="0"/>
              <w:left w:val="nil"/>
              <w:bottom w:val="single" w:color="auto"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相比202</w:t>
            </w:r>
            <w:r>
              <w:rPr>
                <w:rFonts w:hint="eastAsia" w:cs="Times New Roman"/>
                <w:szCs w:val="28"/>
              </w:rPr>
              <w:t>5</w:t>
            </w:r>
            <w:r>
              <w:rPr>
                <w:rFonts w:cs="Times New Roman"/>
                <w:szCs w:val="28"/>
              </w:rPr>
              <w:t>年</w:t>
            </w:r>
          </w:p>
        </w:tc>
        <w:tc>
          <w:tcPr>
            <w:tcW w:w="1382" w:type="pct"/>
            <w:tcBorders>
              <w:top w:val="single" w:color="000000" w:sz="4" w:space="0"/>
              <w:left w:val="nil"/>
              <w:bottom w:val="single" w:color="auto"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2.55亿元</w:t>
            </w:r>
          </w:p>
        </w:tc>
        <w:tc>
          <w:tcPr>
            <w:tcW w:w="642" w:type="pct"/>
            <w:vMerge w:val="restart"/>
            <w:tcBorders>
              <w:top w:val="single" w:color="000000" w:sz="4" w:space="0"/>
              <w:left w:val="nil"/>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预期性</w:t>
            </w:r>
          </w:p>
        </w:tc>
      </w:tr>
      <w:tr>
        <w:tblPrEx>
          <w:tblCellMar>
            <w:top w:w="0" w:type="dxa"/>
            <w:left w:w="108" w:type="dxa"/>
            <w:bottom w:w="0" w:type="dxa"/>
            <w:right w:w="108" w:type="dxa"/>
          </w:tblCellMar>
        </w:tblPrEx>
        <w:trPr>
          <w:trHeight w:val="355" w:hRule="atLeast"/>
          <w:jc w:val="center"/>
        </w:trPr>
        <w:tc>
          <w:tcPr>
            <w:tcW w:w="406" w:type="pct"/>
            <w:vMerge w:val="continue"/>
            <w:tcBorders>
              <w:left w:val="single" w:color="000000" w:sz="4" w:space="0"/>
              <w:bottom w:val="single" w:color="000000" w:sz="4" w:space="0"/>
              <w:right w:val="single" w:color="000000" w:sz="4" w:space="0"/>
            </w:tcBorders>
            <w:noWrap/>
            <w:vAlign w:val="center"/>
          </w:tcPr>
          <w:p>
            <w:pPr>
              <w:spacing w:line="240" w:lineRule="auto"/>
              <w:ind w:firstLine="0" w:firstLineChars="0"/>
              <w:jc w:val="center"/>
              <w:rPr>
                <w:rFonts w:cs="Times New Roman"/>
                <w:szCs w:val="28"/>
              </w:rPr>
            </w:pPr>
          </w:p>
        </w:tc>
        <w:tc>
          <w:tcPr>
            <w:tcW w:w="1265" w:type="pct"/>
            <w:vMerge w:val="continue"/>
            <w:tcBorders>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p>
        </w:tc>
        <w:tc>
          <w:tcPr>
            <w:tcW w:w="1305" w:type="pct"/>
            <w:tcBorders>
              <w:top w:val="single" w:color="auto"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相比2020年</w:t>
            </w:r>
          </w:p>
        </w:tc>
        <w:tc>
          <w:tcPr>
            <w:tcW w:w="1382" w:type="pct"/>
            <w:tcBorders>
              <w:top w:val="single" w:color="auto" w:sz="4" w:space="0"/>
              <w:left w:val="nil"/>
              <w:bottom w:val="single" w:color="000000" w:sz="4" w:space="0"/>
              <w:right w:val="single" w:color="000000" w:sz="4" w:space="0"/>
            </w:tcBorders>
            <w:noWrap/>
            <w:vAlign w:val="center"/>
          </w:tcPr>
          <w:p>
            <w:pPr>
              <w:spacing w:line="240" w:lineRule="auto"/>
              <w:ind w:firstLine="0" w:firstLineChars="0"/>
              <w:jc w:val="center"/>
              <w:rPr>
                <w:rFonts w:cs="Times New Roman"/>
                <w:szCs w:val="28"/>
              </w:rPr>
            </w:pPr>
            <w:r>
              <w:rPr>
                <w:rFonts w:cs="Times New Roman"/>
                <w:szCs w:val="28"/>
              </w:rPr>
              <w:t>5.4亿元</w:t>
            </w:r>
          </w:p>
        </w:tc>
        <w:tc>
          <w:tcPr>
            <w:tcW w:w="642" w:type="pct"/>
            <w:vMerge w:val="continue"/>
            <w:tcBorders>
              <w:left w:val="nil"/>
              <w:bottom w:val="single" w:color="000000" w:sz="4" w:space="0"/>
              <w:right w:val="single" w:color="000000" w:sz="4" w:space="0"/>
            </w:tcBorders>
            <w:noWrap/>
            <w:vAlign w:val="center"/>
          </w:tcPr>
          <w:p>
            <w:pPr>
              <w:spacing w:line="240" w:lineRule="auto"/>
              <w:ind w:firstLine="0" w:firstLineChars="0"/>
              <w:rPr>
                <w:rFonts w:cs="Times New Roman"/>
                <w:szCs w:val="28"/>
              </w:rPr>
            </w:pPr>
          </w:p>
        </w:tc>
      </w:tr>
    </w:tbl>
    <w:p>
      <w:pPr>
        <w:pStyle w:val="4"/>
      </w:pPr>
      <w:bookmarkStart w:id="103" w:name="_Toc101043917"/>
      <w:bookmarkStart w:id="104" w:name="_Toc114850806"/>
      <w:r>
        <w:rPr>
          <w:rFonts w:hint="eastAsia"/>
        </w:rPr>
        <w:t>社会效益</w:t>
      </w:r>
      <w:bookmarkEnd w:id="103"/>
      <w:bookmarkEnd w:id="104"/>
    </w:p>
    <w:p>
      <w:pPr>
        <w:overflowPunct w:val="0"/>
        <w:topLinePunct/>
        <w:spacing w:line="600" w:lineRule="exact"/>
        <w:ind w:firstLine="640"/>
        <w:jc w:val="both"/>
        <w:rPr>
          <w:sz w:val="32"/>
          <w:szCs w:val="32"/>
        </w:rPr>
      </w:pPr>
      <w:r>
        <w:rPr>
          <w:rFonts w:hint="eastAsia"/>
          <w:sz w:val="32"/>
          <w:szCs w:val="32"/>
        </w:rPr>
        <w:t>高标准农田建设将为新型农业经营主体发展规模经营提供良好条件，发展种植大户、家庭农场、农民合作社等多种形式的适度规模经营，推进农业生产的集约化、专业化、组织化和社会化。项目建设依据全区各地农业资源特色和区域优势，围绕培育特色产业和特色经济，着力推动农业结构调整，促进产业升级、优化产业布局，有力推进全区现代农业发展步伐。</w:t>
      </w:r>
    </w:p>
    <w:p>
      <w:pPr>
        <w:overflowPunct w:val="0"/>
        <w:topLinePunct/>
        <w:spacing w:line="600" w:lineRule="exact"/>
        <w:ind w:firstLine="640"/>
        <w:jc w:val="both"/>
        <w:rPr>
          <w:sz w:val="32"/>
          <w:szCs w:val="32"/>
        </w:rPr>
      </w:pPr>
      <w:r>
        <w:rPr>
          <w:rFonts w:hint="eastAsia"/>
          <w:sz w:val="32"/>
          <w:szCs w:val="32"/>
        </w:rPr>
        <w:t>规划项目的实施，切实改善了农业生产、农民生活的基本条件，解决了群众的需求，同时带动农民收入增加。通过民主管理，扶持农民专业合作经济组织，提高农民组织化程度，使各种管理更趋于科学、民主，农民的综合素质得到提高，有利于密切农村党群、干群关系，促进良好民风的形成，有利于促进和谐农村建设。</w:t>
      </w:r>
    </w:p>
    <w:p>
      <w:pPr>
        <w:pStyle w:val="4"/>
      </w:pPr>
      <w:bookmarkStart w:id="105" w:name="_Toc114850807"/>
      <w:bookmarkStart w:id="106" w:name="_Toc101043918"/>
      <w:r>
        <w:rPr>
          <w:rFonts w:hint="eastAsia"/>
        </w:rPr>
        <w:t>生态效益</w:t>
      </w:r>
      <w:bookmarkEnd w:id="105"/>
      <w:bookmarkEnd w:id="106"/>
    </w:p>
    <w:p>
      <w:pPr>
        <w:spacing w:line="600" w:lineRule="exact"/>
        <w:ind w:firstLine="640"/>
        <w:jc w:val="both"/>
        <w:rPr>
          <w:sz w:val="32"/>
          <w:szCs w:val="32"/>
        </w:rPr>
      </w:pPr>
      <w:r>
        <w:rPr>
          <w:rFonts w:hint="eastAsia"/>
          <w:sz w:val="32"/>
          <w:szCs w:val="32"/>
        </w:rPr>
        <w:t>有效</w:t>
      </w:r>
      <w:r>
        <w:rPr>
          <w:sz w:val="32"/>
          <w:szCs w:val="32"/>
        </w:rPr>
        <w:t>改善农业生态环境。通过</w:t>
      </w:r>
      <w:r>
        <w:rPr>
          <w:rFonts w:hint="eastAsia"/>
          <w:sz w:val="32"/>
          <w:szCs w:val="32"/>
        </w:rPr>
        <w:t>测土配方</w:t>
      </w:r>
      <w:r>
        <w:rPr>
          <w:sz w:val="32"/>
          <w:szCs w:val="32"/>
        </w:rPr>
        <w:t>施肥、秸秆还田、</w:t>
      </w:r>
      <w:r>
        <w:rPr>
          <w:rFonts w:hint="eastAsia"/>
          <w:sz w:val="32"/>
          <w:szCs w:val="32"/>
        </w:rPr>
        <w:t>有机肥加</w:t>
      </w:r>
      <w:r>
        <w:rPr>
          <w:sz w:val="32"/>
          <w:szCs w:val="32"/>
        </w:rPr>
        <w:t>深松整地等农业技术措施的实施，土壤有机质含量将进一步增加，土壤理化性状得到改善，保水、保肥、通气能力明显增强。通过农田防护建设控制水土流失，维护农田生态平衡。</w:t>
      </w:r>
    </w:p>
    <w:p>
      <w:pPr>
        <w:spacing w:line="600" w:lineRule="exact"/>
        <w:ind w:firstLine="640"/>
        <w:jc w:val="both"/>
        <w:rPr>
          <w:sz w:val="32"/>
          <w:szCs w:val="32"/>
        </w:rPr>
      </w:pPr>
      <w:r>
        <w:rPr>
          <w:rFonts w:hint="eastAsia"/>
          <w:sz w:val="32"/>
          <w:szCs w:val="32"/>
        </w:rPr>
        <w:t>有效</w:t>
      </w:r>
      <w:r>
        <w:rPr>
          <w:sz w:val="32"/>
          <w:szCs w:val="32"/>
        </w:rPr>
        <w:t>提高水土资源利用率。通过不断完善农业节水机制，渠道防渗等综合节水措施，可有效提高项目区灌溉用水的效率，对构建节水型社会具有重要意义。</w:t>
      </w:r>
    </w:p>
    <w:p>
      <w:pPr>
        <w:spacing w:line="600" w:lineRule="exact"/>
        <w:ind w:firstLine="640"/>
        <w:jc w:val="both"/>
      </w:pPr>
      <w:r>
        <w:rPr>
          <w:sz w:val="32"/>
          <w:szCs w:val="32"/>
        </w:rPr>
        <w:t>提升农田生态功能。通过修建农田防护工程，可有效防风固沙、净化空气、减少水土流失、保护水土资源、减少或减轻自然灾害程度以及调节局部小气候、改善生态环境有着非常重要的作用。</w:t>
      </w:r>
      <w:r>
        <w:rPr>
          <w:rFonts w:hint="eastAsia"/>
        </w:rPr>
        <w:br w:type="page"/>
      </w:r>
      <w:bookmarkStart w:id="107" w:name="_Toc10039"/>
      <w:bookmarkStart w:id="108" w:name="_Toc96520184"/>
    </w:p>
    <w:p>
      <w:pPr>
        <w:pStyle w:val="3"/>
        <w:rPr>
          <w:rFonts w:ascii="Times New Roman"/>
        </w:rPr>
      </w:pPr>
      <w:bookmarkStart w:id="109" w:name="_Toc114850808"/>
      <w:r>
        <w:rPr>
          <w:rFonts w:ascii="Times New Roman"/>
        </w:rPr>
        <w:t>环境影响分析</w:t>
      </w:r>
      <w:bookmarkEnd w:id="107"/>
      <w:bookmarkEnd w:id="108"/>
      <w:bookmarkEnd w:id="109"/>
    </w:p>
    <w:p>
      <w:pPr>
        <w:pStyle w:val="4"/>
      </w:pPr>
      <w:bookmarkStart w:id="110" w:name="_Toc101043920"/>
      <w:bookmarkStart w:id="111" w:name="_Toc114850809"/>
      <w:r>
        <w:t>对区域水资源平衡的影响分析</w:t>
      </w:r>
      <w:bookmarkEnd w:id="110"/>
      <w:bookmarkEnd w:id="111"/>
    </w:p>
    <w:p>
      <w:pPr>
        <w:overflowPunct w:val="0"/>
        <w:topLinePunct/>
        <w:spacing w:line="600" w:lineRule="exact"/>
        <w:ind w:firstLine="640"/>
        <w:jc w:val="both"/>
        <w:rPr>
          <w:sz w:val="32"/>
          <w:szCs w:val="32"/>
        </w:rPr>
      </w:pPr>
      <w:bookmarkStart w:id="112" w:name="_Toc101043921"/>
      <w:r>
        <w:rPr>
          <w:rFonts w:hint="eastAsia"/>
          <w:sz w:val="32"/>
          <w:szCs w:val="32"/>
        </w:rPr>
        <w:t>通过本规划的实施，新增建设和改造提升建设高标准农田，主要任务是实施高效节水灌溉，灌溉方式改造为浅埋输水管道、渠道衬砌、微灌和喷滴灌等，实施高效节水灌溉，对缓解地下水位下降、减轻井灌区过度抽取地下水，降低区域农田灌溉用水总量；</w:t>
      </w:r>
      <w:r>
        <w:rPr>
          <w:sz w:val="32"/>
          <w:szCs w:val="32"/>
        </w:rPr>
        <w:t>通过衬砌渠道、配套田间水利工程等措施，可加快</w:t>
      </w:r>
      <w:r>
        <w:rPr>
          <w:rFonts w:hint="eastAsia"/>
          <w:sz w:val="32"/>
          <w:szCs w:val="32"/>
        </w:rPr>
        <w:t>水体</w:t>
      </w:r>
      <w:r>
        <w:rPr>
          <w:sz w:val="32"/>
          <w:szCs w:val="32"/>
        </w:rPr>
        <w:t>流速、减少渗漏、节约用水</w:t>
      </w:r>
      <w:r>
        <w:rPr>
          <w:rFonts w:hint="eastAsia"/>
          <w:sz w:val="32"/>
          <w:szCs w:val="32"/>
        </w:rPr>
        <w:t>，同时通过节水灌溉工程，提高灌溉水利用系数、亩均节水率等指标，</w:t>
      </w:r>
      <w:r>
        <w:rPr>
          <w:sz w:val="32"/>
          <w:szCs w:val="32"/>
        </w:rPr>
        <w:t>提高水资源利用率</w:t>
      </w:r>
      <w:r>
        <w:rPr>
          <w:rFonts w:hint="eastAsia"/>
          <w:sz w:val="32"/>
          <w:szCs w:val="32"/>
        </w:rPr>
        <w:t>；</w:t>
      </w:r>
      <w:r>
        <w:rPr>
          <w:sz w:val="32"/>
          <w:szCs w:val="32"/>
        </w:rPr>
        <w:t>通过</w:t>
      </w:r>
      <w:r>
        <w:rPr>
          <w:rFonts w:hint="eastAsia"/>
          <w:sz w:val="32"/>
          <w:szCs w:val="32"/>
        </w:rPr>
        <w:t>新建和更新</w:t>
      </w:r>
      <w:r>
        <w:rPr>
          <w:sz w:val="32"/>
          <w:szCs w:val="32"/>
        </w:rPr>
        <w:t>农田防护林</w:t>
      </w:r>
      <w:r>
        <w:rPr>
          <w:rFonts w:hint="eastAsia"/>
          <w:sz w:val="32"/>
          <w:szCs w:val="32"/>
        </w:rPr>
        <w:t>，</w:t>
      </w:r>
      <w:r>
        <w:rPr>
          <w:sz w:val="32"/>
          <w:szCs w:val="32"/>
        </w:rPr>
        <w:t>可</w:t>
      </w:r>
      <w:r>
        <w:rPr>
          <w:rFonts w:hint="eastAsia"/>
          <w:sz w:val="32"/>
          <w:szCs w:val="32"/>
        </w:rPr>
        <w:t>防风固沙、</w:t>
      </w:r>
      <w:r>
        <w:rPr>
          <w:sz w:val="32"/>
          <w:szCs w:val="32"/>
        </w:rPr>
        <w:t>涵养水分</w:t>
      </w:r>
      <w:r>
        <w:rPr>
          <w:rFonts w:hint="eastAsia"/>
          <w:sz w:val="32"/>
          <w:szCs w:val="32"/>
        </w:rPr>
        <w:t>；</w:t>
      </w:r>
      <w:r>
        <w:rPr>
          <w:sz w:val="32"/>
          <w:szCs w:val="32"/>
        </w:rPr>
        <w:t>通过修建农田排水沟渠等措施</w:t>
      </w:r>
      <w:r>
        <w:rPr>
          <w:rFonts w:hint="eastAsia"/>
          <w:sz w:val="32"/>
          <w:szCs w:val="32"/>
        </w:rPr>
        <w:t>，</w:t>
      </w:r>
      <w:r>
        <w:rPr>
          <w:sz w:val="32"/>
          <w:szCs w:val="32"/>
        </w:rPr>
        <w:t>可排除过高地下水</w:t>
      </w:r>
      <w:r>
        <w:rPr>
          <w:rFonts w:hint="eastAsia"/>
          <w:sz w:val="32"/>
          <w:szCs w:val="32"/>
        </w:rPr>
        <w:t>；通过实施保护性耕作、玉米秸秆全量碎混还田、实施有机肥还田、推广测土配方施肥等措施，</w:t>
      </w:r>
      <w:r>
        <w:rPr>
          <w:rFonts w:hint="eastAsia" w:eastAsia="仿宋_GB2312" w:cs="仿宋_GB2312"/>
          <w:sz w:val="32"/>
          <w:szCs w:val="32"/>
        </w:rPr>
        <w:t>降低单位面积化肥施用量，肥料利用效率大幅度提高，通过实施粪肥还田沃土行动、实施农膜回收利用行动、实施源头污染防控行动、实施受污染耕地安全利用行动等措施共同</w:t>
      </w:r>
      <w:r>
        <w:rPr>
          <w:sz w:val="32"/>
          <w:szCs w:val="32"/>
        </w:rPr>
        <w:t>保障农田灌溉水质达标</w:t>
      </w:r>
      <w:r>
        <w:rPr>
          <w:rFonts w:hint="eastAsia"/>
          <w:sz w:val="32"/>
          <w:szCs w:val="32"/>
        </w:rPr>
        <w:t>要求</w:t>
      </w:r>
      <w:r>
        <w:rPr>
          <w:sz w:val="32"/>
          <w:szCs w:val="32"/>
        </w:rPr>
        <w:t>。高标准农田建设不仅不会破坏规划区域原有的水资源供需平衡状况</w:t>
      </w:r>
      <w:r>
        <w:rPr>
          <w:rFonts w:hint="eastAsia"/>
          <w:sz w:val="32"/>
          <w:szCs w:val="32"/>
        </w:rPr>
        <w:t>，</w:t>
      </w:r>
      <w:r>
        <w:rPr>
          <w:sz w:val="32"/>
          <w:szCs w:val="32"/>
        </w:rPr>
        <w:t>而且还将起到积极的优化作用</w:t>
      </w:r>
      <w:r>
        <w:rPr>
          <w:rFonts w:hint="eastAsia"/>
          <w:sz w:val="32"/>
          <w:szCs w:val="32"/>
        </w:rPr>
        <w:t>推动水资源合理利用具有重大意义</w:t>
      </w:r>
      <w:r>
        <w:rPr>
          <w:sz w:val="32"/>
          <w:szCs w:val="32"/>
        </w:rPr>
        <w:t>。</w:t>
      </w:r>
    </w:p>
    <w:p>
      <w:pPr>
        <w:pStyle w:val="4"/>
      </w:pPr>
      <w:bookmarkStart w:id="113" w:name="_Toc114850810"/>
      <w:r>
        <w:rPr>
          <w:rFonts w:hint="eastAsia"/>
        </w:rPr>
        <w:t>对防治水土流失的影响分析</w:t>
      </w:r>
      <w:bookmarkEnd w:id="112"/>
      <w:bookmarkEnd w:id="113"/>
    </w:p>
    <w:p>
      <w:pPr>
        <w:overflowPunct w:val="0"/>
        <w:topLinePunct/>
        <w:spacing w:line="600" w:lineRule="exact"/>
        <w:ind w:firstLine="640"/>
        <w:jc w:val="both"/>
        <w:rPr>
          <w:sz w:val="32"/>
          <w:szCs w:val="32"/>
        </w:rPr>
      </w:pPr>
      <w:r>
        <w:rPr>
          <w:rFonts w:hint="eastAsia"/>
          <w:sz w:val="32"/>
          <w:szCs w:val="32"/>
        </w:rPr>
        <w:t>本规划实施的高标准农田建设，大部分工程为开挖和修缮沟渠、衬砌、整修农田道路和建设农田防护林网、小型泵站的建设与维修等。单个工程规模小，分布面广，施工周期短，且多数选择在雨水偏少的季节，在建设期内基本不存在水土流失问题，对当地环境影响轻微。只要采取相应措施，加强施工过程管理，尽量减少尘土飞扬</w:t>
      </w:r>
      <w:r>
        <w:rPr>
          <w:sz w:val="32"/>
          <w:szCs w:val="32"/>
        </w:rPr>
        <w:t>，</w:t>
      </w:r>
      <w:r>
        <w:rPr>
          <w:rFonts w:hint="eastAsia"/>
          <w:sz w:val="32"/>
          <w:szCs w:val="32"/>
        </w:rPr>
        <w:t>及时回填料土、清理工作场面</w:t>
      </w:r>
      <w:r>
        <w:rPr>
          <w:sz w:val="32"/>
          <w:szCs w:val="32"/>
        </w:rPr>
        <w:t>，</w:t>
      </w:r>
      <w:r>
        <w:rPr>
          <w:rFonts w:hint="eastAsia"/>
          <w:sz w:val="32"/>
          <w:szCs w:val="32"/>
        </w:rPr>
        <w:t>加强裸露地面的绿化和管护</w:t>
      </w:r>
      <w:r>
        <w:rPr>
          <w:sz w:val="32"/>
          <w:szCs w:val="32"/>
        </w:rPr>
        <w:t>，</w:t>
      </w:r>
      <w:r>
        <w:rPr>
          <w:rFonts w:hint="eastAsia"/>
          <w:sz w:val="32"/>
          <w:szCs w:val="32"/>
        </w:rPr>
        <w:t>可以达到防治水土流失的要求。项目建成后</w:t>
      </w:r>
      <w:r>
        <w:rPr>
          <w:sz w:val="32"/>
          <w:szCs w:val="32"/>
        </w:rPr>
        <w:t>，</w:t>
      </w:r>
      <w:r>
        <w:rPr>
          <w:rFonts w:hint="eastAsia"/>
          <w:sz w:val="32"/>
          <w:szCs w:val="32"/>
        </w:rPr>
        <w:t>随着农田基础设施的改善</w:t>
      </w:r>
      <w:r>
        <w:rPr>
          <w:sz w:val="32"/>
          <w:szCs w:val="32"/>
        </w:rPr>
        <w:t xml:space="preserve"> </w:t>
      </w:r>
      <w:r>
        <w:rPr>
          <w:rFonts w:hint="eastAsia"/>
          <w:sz w:val="32"/>
          <w:szCs w:val="32"/>
        </w:rPr>
        <w:t>、配套技术的应用、农田林网的完善等</w:t>
      </w:r>
      <w:r>
        <w:rPr>
          <w:sz w:val="32"/>
          <w:szCs w:val="32"/>
        </w:rPr>
        <w:t>，</w:t>
      </w:r>
      <w:r>
        <w:rPr>
          <w:rFonts w:hint="eastAsia"/>
          <w:sz w:val="32"/>
          <w:szCs w:val="32"/>
        </w:rPr>
        <w:t>可有效拦截泥沙、保水保肥</w:t>
      </w:r>
      <w:r>
        <w:rPr>
          <w:sz w:val="32"/>
          <w:szCs w:val="32"/>
        </w:rPr>
        <w:t>，</w:t>
      </w:r>
      <w:r>
        <w:rPr>
          <w:rFonts w:hint="eastAsia"/>
          <w:sz w:val="32"/>
          <w:szCs w:val="32"/>
        </w:rPr>
        <w:t>有效减轻土壤侵蚀强度</w:t>
      </w:r>
      <w:r>
        <w:rPr>
          <w:sz w:val="32"/>
          <w:szCs w:val="32"/>
        </w:rPr>
        <w:t>，</w:t>
      </w:r>
      <w:r>
        <w:rPr>
          <w:rFonts w:hint="eastAsia"/>
          <w:sz w:val="32"/>
          <w:szCs w:val="32"/>
        </w:rPr>
        <w:t>对防治水土流失、改善生态环境起到积极作用。</w:t>
      </w:r>
    </w:p>
    <w:p>
      <w:pPr>
        <w:pStyle w:val="4"/>
      </w:pPr>
      <w:bookmarkStart w:id="114" w:name="_Toc101043922"/>
      <w:bookmarkStart w:id="115" w:name="_Toc114850811"/>
      <w:r>
        <w:rPr>
          <w:rFonts w:hint="eastAsia"/>
        </w:rPr>
        <w:t>农业投入品对环境的影响分析</w:t>
      </w:r>
      <w:bookmarkEnd w:id="114"/>
      <w:bookmarkEnd w:id="115"/>
    </w:p>
    <w:p>
      <w:pPr>
        <w:overflowPunct w:val="0"/>
        <w:topLinePunct/>
        <w:spacing w:line="600" w:lineRule="exact"/>
        <w:ind w:firstLine="640"/>
        <w:jc w:val="both"/>
        <w:rPr>
          <w:sz w:val="32"/>
          <w:szCs w:val="32"/>
        </w:rPr>
      </w:pPr>
      <w:r>
        <w:rPr>
          <w:rFonts w:hint="eastAsia"/>
          <w:sz w:val="32"/>
          <w:szCs w:val="32"/>
        </w:rPr>
        <w:t>通过高标准农田建设</w:t>
      </w:r>
      <w:r>
        <w:rPr>
          <w:sz w:val="32"/>
          <w:szCs w:val="32"/>
        </w:rPr>
        <w:t>，</w:t>
      </w:r>
      <w:r>
        <w:rPr>
          <w:rFonts w:hint="eastAsia"/>
          <w:sz w:val="32"/>
          <w:szCs w:val="32"/>
        </w:rPr>
        <w:t>提高土壤肥力</w:t>
      </w:r>
      <w:r>
        <w:rPr>
          <w:sz w:val="32"/>
          <w:szCs w:val="32"/>
        </w:rPr>
        <w:t>，</w:t>
      </w:r>
      <w:r>
        <w:rPr>
          <w:rFonts w:hint="eastAsia"/>
          <w:sz w:val="32"/>
          <w:szCs w:val="32"/>
        </w:rPr>
        <w:t>改善农田小气候</w:t>
      </w:r>
      <w:r>
        <w:rPr>
          <w:sz w:val="32"/>
          <w:szCs w:val="32"/>
        </w:rPr>
        <w:t>，</w:t>
      </w:r>
      <w:r>
        <w:rPr>
          <w:rFonts w:hint="eastAsia"/>
          <w:sz w:val="32"/>
          <w:szCs w:val="32"/>
        </w:rPr>
        <w:t>可减轻对化肥和农药的依赖</w:t>
      </w:r>
      <w:r>
        <w:rPr>
          <w:sz w:val="32"/>
          <w:szCs w:val="32"/>
        </w:rPr>
        <w:t>，</w:t>
      </w:r>
      <w:r>
        <w:rPr>
          <w:rFonts w:hint="eastAsia"/>
          <w:sz w:val="32"/>
          <w:szCs w:val="32"/>
        </w:rPr>
        <w:t>同时通过推广应用科学施肥、秸秆还田、病虫害综合防治等技术</w:t>
      </w:r>
      <w:r>
        <w:rPr>
          <w:sz w:val="32"/>
          <w:szCs w:val="32"/>
        </w:rPr>
        <w:t>，</w:t>
      </w:r>
      <w:r>
        <w:rPr>
          <w:rFonts w:hint="eastAsia"/>
          <w:sz w:val="32"/>
          <w:szCs w:val="32"/>
        </w:rPr>
        <w:t>推广使用高效、低毒</w:t>
      </w:r>
      <w:r>
        <w:rPr>
          <w:sz w:val="32"/>
          <w:szCs w:val="32"/>
        </w:rPr>
        <w:t xml:space="preserve"> </w:t>
      </w:r>
      <w:r>
        <w:rPr>
          <w:rFonts w:hint="eastAsia"/>
          <w:sz w:val="32"/>
          <w:szCs w:val="32"/>
        </w:rPr>
        <w:t>、低残留农药和生物农药</w:t>
      </w:r>
      <w:r>
        <w:rPr>
          <w:sz w:val="32"/>
          <w:szCs w:val="32"/>
        </w:rPr>
        <w:t>，</w:t>
      </w:r>
      <w:r>
        <w:rPr>
          <w:rFonts w:hint="eastAsia"/>
          <w:sz w:val="32"/>
          <w:szCs w:val="32"/>
        </w:rPr>
        <w:t>可降低化肥和农药的使用量</w:t>
      </w:r>
      <w:r>
        <w:rPr>
          <w:sz w:val="32"/>
          <w:szCs w:val="32"/>
        </w:rPr>
        <w:t>，</w:t>
      </w:r>
      <w:r>
        <w:rPr>
          <w:rFonts w:hint="eastAsia"/>
          <w:sz w:val="32"/>
          <w:szCs w:val="32"/>
        </w:rPr>
        <w:t>提高化肥和农药的使用效率。这些保护措施</w:t>
      </w:r>
      <w:r>
        <w:rPr>
          <w:sz w:val="32"/>
          <w:szCs w:val="32"/>
        </w:rPr>
        <w:t>，</w:t>
      </w:r>
      <w:r>
        <w:rPr>
          <w:rFonts w:hint="eastAsia"/>
          <w:sz w:val="32"/>
          <w:szCs w:val="32"/>
        </w:rPr>
        <w:t>将大大减少农业面源污染。在项目实施过程中</w:t>
      </w:r>
      <w:r>
        <w:rPr>
          <w:sz w:val="32"/>
          <w:szCs w:val="32"/>
        </w:rPr>
        <w:t>，</w:t>
      </w:r>
      <w:r>
        <w:rPr>
          <w:rFonts w:hint="eastAsia"/>
          <w:sz w:val="32"/>
          <w:szCs w:val="32"/>
        </w:rPr>
        <w:t>建立健全农业面源污染监测预警体系</w:t>
      </w:r>
      <w:r>
        <w:rPr>
          <w:sz w:val="32"/>
          <w:szCs w:val="32"/>
        </w:rPr>
        <w:t>，</w:t>
      </w:r>
      <w:r>
        <w:rPr>
          <w:rFonts w:hint="eastAsia"/>
          <w:sz w:val="32"/>
          <w:szCs w:val="32"/>
        </w:rPr>
        <w:t>强化监测手段</w:t>
      </w:r>
      <w:r>
        <w:rPr>
          <w:sz w:val="32"/>
          <w:szCs w:val="32"/>
        </w:rPr>
        <w:t>，</w:t>
      </w:r>
      <w:r>
        <w:rPr>
          <w:rFonts w:hint="eastAsia"/>
          <w:sz w:val="32"/>
          <w:szCs w:val="32"/>
        </w:rPr>
        <w:t>开展农业面源污染监测预警</w:t>
      </w:r>
      <w:r>
        <w:rPr>
          <w:sz w:val="32"/>
          <w:szCs w:val="32"/>
        </w:rPr>
        <w:t>，</w:t>
      </w:r>
      <w:r>
        <w:rPr>
          <w:rFonts w:hint="eastAsia"/>
          <w:sz w:val="32"/>
          <w:szCs w:val="32"/>
        </w:rPr>
        <w:t>加快实施化肥农药减施替代工程</w:t>
      </w:r>
      <w:r>
        <w:rPr>
          <w:sz w:val="32"/>
          <w:szCs w:val="32"/>
        </w:rPr>
        <w:t>，</w:t>
      </w:r>
      <w:r>
        <w:rPr>
          <w:rFonts w:hint="eastAsia"/>
          <w:sz w:val="32"/>
          <w:szCs w:val="32"/>
        </w:rPr>
        <w:t>推广精准化施肥施药等环境友好型农业生产技术</w:t>
      </w:r>
      <w:r>
        <w:rPr>
          <w:sz w:val="32"/>
          <w:szCs w:val="32"/>
        </w:rPr>
        <w:t>，</w:t>
      </w:r>
      <w:r>
        <w:rPr>
          <w:rFonts w:hint="eastAsia"/>
          <w:sz w:val="32"/>
          <w:szCs w:val="32"/>
        </w:rPr>
        <w:t>防治农业面源污染。</w:t>
      </w:r>
    </w:p>
    <w:p>
      <w:pPr>
        <w:overflowPunct w:val="0"/>
        <w:topLinePunct/>
        <w:spacing w:line="600" w:lineRule="exact"/>
        <w:ind w:firstLine="640"/>
        <w:jc w:val="both"/>
        <w:rPr>
          <w:sz w:val="32"/>
          <w:szCs w:val="32"/>
        </w:rPr>
      </w:pPr>
      <w:r>
        <w:rPr>
          <w:rFonts w:hint="eastAsia"/>
          <w:sz w:val="32"/>
          <w:szCs w:val="32"/>
        </w:rPr>
        <w:t>综上所述</w:t>
      </w:r>
      <w:r>
        <w:rPr>
          <w:sz w:val="32"/>
          <w:szCs w:val="32"/>
        </w:rPr>
        <w:t>，</w:t>
      </w:r>
      <w:r>
        <w:rPr>
          <w:rFonts w:hint="eastAsia"/>
          <w:sz w:val="32"/>
          <w:szCs w:val="32"/>
        </w:rPr>
        <w:t>规划项目本身可促进生态环境的改善</w:t>
      </w:r>
      <w:r>
        <w:rPr>
          <w:sz w:val="32"/>
          <w:szCs w:val="32"/>
        </w:rPr>
        <w:t>，</w:t>
      </w:r>
      <w:r>
        <w:rPr>
          <w:rFonts w:hint="eastAsia"/>
          <w:sz w:val="32"/>
          <w:szCs w:val="32"/>
        </w:rPr>
        <w:t>对周围环境基本上没有不良影响。从环境保护的角度看</w:t>
      </w:r>
      <w:r>
        <w:rPr>
          <w:sz w:val="32"/>
          <w:szCs w:val="32"/>
        </w:rPr>
        <w:t>，</w:t>
      </w:r>
      <w:r>
        <w:rPr>
          <w:rFonts w:hint="eastAsia"/>
          <w:sz w:val="32"/>
          <w:szCs w:val="32"/>
        </w:rPr>
        <w:t>本规划的实施是可行的。</w:t>
      </w:r>
    </w:p>
    <w:p>
      <w:pPr>
        <w:pStyle w:val="2"/>
        <w:ind w:left="560" w:firstLine="560"/>
      </w:pPr>
      <w:r>
        <w:br w:type="page"/>
      </w:r>
    </w:p>
    <w:p>
      <w:pPr>
        <w:pStyle w:val="3"/>
        <w:rPr>
          <w:rFonts w:ascii="Times New Roman"/>
        </w:rPr>
      </w:pPr>
      <w:bookmarkStart w:id="116" w:name="_Toc114850812"/>
      <w:bookmarkStart w:id="117" w:name="bookmark157"/>
      <w:bookmarkStart w:id="118" w:name="bookmark159"/>
      <w:bookmarkStart w:id="119" w:name="bookmark158"/>
      <w:r>
        <w:rPr>
          <w:rFonts w:hint="eastAsia" w:ascii="Times New Roman"/>
        </w:rPr>
        <w:t>保障措施</w:t>
      </w:r>
      <w:bookmarkEnd w:id="116"/>
      <w:bookmarkEnd w:id="117"/>
      <w:bookmarkEnd w:id="118"/>
      <w:bookmarkEnd w:id="119"/>
    </w:p>
    <w:p>
      <w:pPr>
        <w:pStyle w:val="4"/>
      </w:pPr>
      <w:bookmarkStart w:id="120" w:name="_Toc114850813"/>
      <w:r>
        <w:rPr>
          <w:rFonts w:hint="eastAsia"/>
        </w:rPr>
        <w:t>组织保障</w:t>
      </w:r>
      <w:bookmarkEnd w:id="120"/>
    </w:p>
    <w:p>
      <w:pPr>
        <w:overflowPunct w:val="0"/>
        <w:topLinePunct/>
        <w:spacing w:line="600" w:lineRule="exact"/>
        <w:ind w:firstLine="640"/>
        <w:jc w:val="both"/>
        <w:rPr>
          <w:sz w:val="32"/>
          <w:szCs w:val="32"/>
        </w:rPr>
      </w:pPr>
      <w:r>
        <w:rPr>
          <w:rFonts w:hint="eastAsia"/>
          <w:sz w:val="32"/>
          <w:szCs w:val="32"/>
        </w:rPr>
        <w:t>高标准农田建设是国家乡村振兴战略和三农政策的重要组成部分，是促进农业发展和农民增收致富的有效措施。高标准农田建设是一项的复杂的系统工程，涉及到各个方面。为了扎实推高标准农田建设，必须继续加强组织领导，建立和完善推进高标准农田建设的领导和组织协调机制，分析研究上级相关政策，解决高标准农田建设推进中遇到的问题，形成合力，共同推进相关项目的实施。乡镇（街道）也要有农田项目建设明确的领导和工作机制，具体承担相关项目实施工作。通过加强领导，精心组织，把高标准农田建设的各项目标和措施落到实处，为规划目标的实现打好基础，更好地发挥高标准农田建设在促进农业增效、农村发展和农民增收中的作用。</w:t>
      </w:r>
    </w:p>
    <w:p>
      <w:pPr>
        <w:pStyle w:val="4"/>
      </w:pPr>
      <w:bookmarkStart w:id="121" w:name="_Toc114850814"/>
      <w:r>
        <w:rPr>
          <w:rFonts w:hint="eastAsia"/>
        </w:rPr>
        <w:t>资金保障</w:t>
      </w:r>
      <w:bookmarkEnd w:id="121"/>
    </w:p>
    <w:p>
      <w:pPr>
        <w:overflowPunct w:val="0"/>
        <w:topLinePunct/>
        <w:spacing w:line="600" w:lineRule="exact"/>
        <w:ind w:firstLine="640"/>
        <w:jc w:val="both"/>
        <w:rPr>
          <w:sz w:val="32"/>
          <w:szCs w:val="32"/>
        </w:rPr>
      </w:pPr>
      <w:r>
        <w:rPr>
          <w:rFonts w:hint="eastAsia"/>
          <w:sz w:val="32"/>
          <w:szCs w:val="32"/>
        </w:rPr>
        <w:t>按照规划布局和部署，在安排有关高标准农田建设相关资金时，要进一步突出重点，优化结构，稳定规模，保证高标准农田建设的资金需求。九台区本级财政将调整支出结构，根据上级相关要求，把本级安排的高标准农田建设配套资金纳入年度预算，优先安排，足额到位。按照“规划标准统一、资金渠道不变、相互协调配合、信息互通共享、积极推进整合、共同完成目标”的原则，加强不同渠道资金的有机整合，连片治理，整体推进，提高资金使用效率。建立多元化筹资机制，不断拓宽高标准农田建设资金投入渠道，形成建设合力。充分发挥财政资金的引导作用，制定优惠政策，积极吸引社会资本和农民投入到高标准农田建设完成后的产业化和规模化开发、社会化服务体系建设和科技推广等领域，提升高标准农田建设的效益。</w:t>
      </w:r>
    </w:p>
    <w:p>
      <w:pPr>
        <w:pStyle w:val="4"/>
      </w:pPr>
      <w:bookmarkStart w:id="122" w:name="_Toc114850815"/>
      <w:r>
        <w:rPr>
          <w:rFonts w:hint="eastAsia"/>
        </w:rPr>
        <w:t>制度保障</w:t>
      </w:r>
      <w:bookmarkEnd w:id="122"/>
    </w:p>
    <w:p>
      <w:pPr>
        <w:overflowPunct w:val="0"/>
        <w:topLinePunct/>
        <w:spacing w:line="600" w:lineRule="exact"/>
        <w:ind w:firstLine="640"/>
        <w:jc w:val="both"/>
        <w:rPr>
          <w:sz w:val="32"/>
          <w:szCs w:val="32"/>
        </w:rPr>
      </w:pPr>
      <w:r>
        <w:rPr>
          <w:rFonts w:hint="eastAsia"/>
          <w:sz w:val="32"/>
          <w:szCs w:val="32"/>
        </w:rPr>
        <w:t>规范严格、切实可行的制度是保证高标准农田建设顺利推进的关键。一是选好选准项目。要本着农民自愿的基本原则，对根据规划实施的各类涉及高标准农田建设的项目进行认真评估、筛选、论证，综合考虑资源条件、生产基础、市场环境及资金、技术和街道政府积极性、组织实施项目的综合能力等方面的因素。坚持集中连片，综合治理，大力发展优势特色主导产业，突出示范带动，实现优中选优。二是强化规划设计工作。切实提高项目规划设计水平，针对农田现状，进行水土田林路科学规划，合理设计，对照高标准农田建设标准，做到“缺什么、建什么”，确保规划设计质量。三是规范项目管理。切实规范项目建设与管理，积极推行公开竞争立项制、土建工程和物资招投标制、工程建设监理制和项目竣工验收制等。四是严格资金管理。严格项目投资计划，建设单位实行项目资金专账核算、专款专用，严禁截留、挪用、套取项目建设资金行为，加强资金使用的监督检查，在竣工决算阶段委托具有相应资质的机构开展资金审计工作，确保各类项目资金真正用到高标准农田建设上。</w:t>
      </w:r>
    </w:p>
    <w:p>
      <w:pPr>
        <w:pStyle w:val="4"/>
      </w:pPr>
      <w:bookmarkStart w:id="123" w:name="_Toc114850816"/>
      <w:r>
        <w:rPr>
          <w:rFonts w:hint="eastAsia"/>
        </w:rPr>
        <w:t>管理保障</w:t>
      </w:r>
      <w:bookmarkEnd w:id="123"/>
    </w:p>
    <w:p>
      <w:pPr>
        <w:overflowPunct w:val="0"/>
        <w:topLinePunct/>
        <w:spacing w:line="600" w:lineRule="exact"/>
        <w:ind w:firstLine="640"/>
        <w:jc w:val="both"/>
        <w:rPr>
          <w:sz w:val="32"/>
          <w:szCs w:val="32"/>
        </w:rPr>
      </w:pPr>
      <w:r>
        <w:rPr>
          <w:rFonts w:hint="eastAsia"/>
          <w:sz w:val="32"/>
          <w:szCs w:val="32"/>
        </w:rPr>
        <w:t>强化管理是高标准农田建设各项目标任务实现和相关措施落实到位的重要保证。一是要加强规划管理，在按照规划推进高标准农田建设的过程中要强化对具体项目的规划、设计的管理，确保规划设计合理，充分发挥项目资金的作用。二是要加强对高标准农田建设项目的管理，全面推行项目法人责任制、招投标制、工程建设监理制、项目公示制、财政报账制等各项制度。三是要完善项目建后管护机制，按照“建管结合、建管并重”的要求，落实农田管护主体和责任，落实管护资金，健全管护制度。引导和激励专业大户、家庭农场、农民合作社、涉农企业等参与农田设施的日常管护。切实采取有效措施落实维修养护经费，将农田相关设施的日常管理与农村环境综合管理等有机结合起来，建立相关考评机制，为加强建后管护提供保障。将高标准农田建设情况纳入相关信息管理系统，实施信息化管理。加强对项目工程管护工作的督查、指导和监测评价，建立长效管护机制，探索管护模式，确保工程长久发挥效益。四是加大考核力度。将高标准农田建设作为全区农业农村工作和对乡镇（街道）的重要考核内容，建立绩效考评制度，加大工作推进力度，并实行必要的激励机制。</w:t>
      </w:r>
    </w:p>
    <w:p>
      <w:pPr>
        <w:pStyle w:val="2"/>
        <w:ind w:left="560" w:firstLine="560"/>
      </w:pPr>
      <w:r>
        <w:br w:type="page"/>
      </w:r>
    </w:p>
    <w:p>
      <w:pPr>
        <w:pStyle w:val="3"/>
        <w:numPr>
          <w:ilvl w:val="0"/>
          <w:numId w:val="0"/>
        </w:numPr>
        <w:jc w:val="left"/>
        <w:rPr>
          <w:rFonts w:ascii="Times New Roman"/>
        </w:rPr>
      </w:pPr>
      <w:bookmarkStart w:id="124" w:name="_Toc114850817"/>
      <w:r>
        <w:rPr>
          <w:rFonts w:hint="eastAsia" w:ascii="Times New Roman"/>
        </w:rPr>
        <w:t>附表</w:t>
      </w:r>
      <w:bookmarkEnd w:id="124"/>
    </w:p>
    <w:p>
      <w:pPr>
        <w:spacing w:line="600" w:lineRule="exact"/>
        <w:ind w:firstLine="0" w:firstLineChars="0"/>
        <w:rPr>
          <w:b/>
        </w:rPr>
      </w:pPr>
      <w:r>
        <w:rPr>
          <w:rFonts w:hint="eastAsia"/>
          <w:b/>
        </w:rPr>
        <w:t>附表</w:t>
      </w:r>
      <w:r>
        <w:rPr>
          <w:b/>
        </w:rPr>
        <w:t xml:space="preserve">1            </w:t>
      </w:r>
      <w:r>
        <w:rPr>
          <w:rFonts w:hint="eastAsia"/>
          <w:b/>
        </w:rPr>
        <w:t>新增建设高标准农田（202</w:t>
      </w:r>
      <w:r>
        <w:rPr>
          <w:b/>
        </w:rPr>
        <w:t>1</w:t>
      </w:r>
      <w:r>
        <w:rPr>
          <w:rFonts w:hint="eastAsia"/>
          <w:b/>
        </w:rPr>
        <w:t>-20</w:t>
      </w:r>
      <w:r>
        <w:rPr>
          <w:b/>
        </w:rPr>
        <w:t>30</w:t>
      </w:r>
      <w:r>
        <w:rPr>
          <w:rFonts w:hint="eastAsia"/>
          <w:b/>
        </w:rPr>
        <w:t xml:space="preserve">年）规划项目库 </w:t>
      </w:r>
      <w:r>
        <w:rPr>
          <w:b/>
        </w:rPr>
        <w:t xml:space="preserve">       </w:t>
      </w:r>
      <w:r>
        <w:rPr>
          <w:rFonts w:hint="eastAsia"/>
          <w:b/>
        </w:rPr>
        <w:t>万亩</w:t>
      </w:r>
    </w:p>
    <w:tbl>
      <w:tblPr>
        <w:tblStyle w:val="29"/>
        <w:tblW w:w="4742" w:type="pct"/>
        <w:jc w:val="center"/>
        <w:tblLayout w:type="fixed"/>
        <w:tblCellMar>
          <w:top w:w="0" w:type="dxa"/>
          <w:left w:w="108" w:type="dxa"/>
          <w:bottom w:w="0" w:type="dxa"/>
          <w:right w:w="108" w:type="dxa"/>
        </w:tblCellMar>
      </w:tblPr>
      <w:tblGrid>
        <w:gridCol w:w="534"/>
        <w:gridCol w:w="992"/>
        <w:gridCol w:w="709"/>
        <w:gridCol w:w="992"/>
        <w:gridCol w:w="709"/>
        <w:gridCol w:w="4819"/>
      </w:tblGrid>
      <w:tr>
        <w:tblPrEx>
          <w:tblCellMar>
            <w:top w:w="0" w:type="dxa"/>
            <w:left w:w="108" w:type="dxa"/>
            <w:bottom w:w="0" w:type="dxa"/>
            <w:right w:w="108" w:type="dxa"/>
          </w:tblCellMar>
        </w:tblPrEx>
        <w:trPr>
          <w:trHeight w:val="374" w:hRule="atLeast"/>
          <w:tblHeader/>
          <w:jc w:val="center"/>
        </w:trPr>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
                <w:kern w:val="0"/>
                <w:sz w:val="24"/>
              </w:rPr>
            </w:pPr>
            <w:r>
              <w:rPr>
                <w:rFonts w:hint="eastAsia" w:ascii="仿宋" w:hAnsi="仿宋" w:cs="宋体"/>
                <w:b/>
                <w:kern w:val="0"/>
                <w:sz w:val="24"/>
              </w:rPr>
              <w:t>年份</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kern w:val="0"/>
                <w:sz w:val="24"/>
              </w:rPr>
            </w:pPr>
            <w:r>
              <w:rPr>
                <w:rFonts w:hint="eastAsia" w:ascii="仿宋" w:hAnsi="仿宋" w:cs="宋体"/>
                <w:b/>
                <w:kern w:val="0"/>
                <w:sz w:val="24"/>
              </w:rPr>
              <w:t>乡级行政区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kern w:val="0"/>
                <w:sz w:val="24"/>
              </w:rPr>
            </w:pPr>
            <w:r>
              <w:rPr>
                <w:rFonts w:hint="eastAsia" w:ascii="仿宋" w:hAnsi="仿宋" w:cs="宋体"/>
                <w:b/>
                <w:kern w:val="0"/>
                <w:sz w:val="24"/>
              </w:rPr>
              <w:t>规划面积</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kern w:val="0"/>
                <w:sz w:val="24"/>
              </w:rPr>
            </w:pPr>
            <w:r>
              <w:rPr>
                <w:rFonts w:hint="eastAsia" w:ascii="仿宋" w:hAnsi="仿宋" w:cs="宋体"/>
                <w:b/>
                <w:kern w:val="0"/>
                <w:sz w:val="24"/>
              </w:rPr>
              <w:t>村级行政区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kern w:val="0"/>
                <w:sz w:val="24"/>
              </w:rPr>
            </w:pPr>
            <w:r>
              <w:rPr>
                <w:rFonts w:hint="eastAsia" w:ascii="仿宋" w:hAnsi="仿宋" w:cs="宋体"/>
                <w:b/>
                <w:kern w:val="0"/>
                <w:sz w:val="24"/>
              </w:rPr>
              <w:t>规划面积</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kern w:val="0"/>
                <w:sz w:val="24"/>
              </w:rPr>
            </w:pPr>
            <w:r>
              <w:rPr>
                <w:rFonts w:hint="eastAsia" w:ascii="仿宋" w:hAnsi="仿宋" w:cs="宋体"/>
                <w:b/>
                <w:kern w:val="0"/>
                <w:sz w:val="24"/>
              </w:rPr>
              <w:t>拟建内容</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2021</w:t>
            </w:r>
            <w:r>
              <w:rPr>
                <w:rFonts w:hint="eastAsia" w:ascii="仿宋" w:hAnsi="仿宋" w:cs="Times New Roman"/>
                <w:kern w:val="0"/>
                <w:sz w:val="24"/>
              </w:rPr>
              <w:t>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城子街街道</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7.25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陈家村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土壤改良面积34.74 hm2，施有机肥69.48 t。新建井15眼，利用原有井4，玻璃钢井房19座；配套潜水泵19台；卷盘式喷灌机（型号JP65-300）15台套。直埋管14座（DN600mm-6m计8座、DN600mm-8m计1座、DN800mm-6m计3座、DN1000mm-6m计2座）；箱涵2座（2m*1m）。道路总长（计算长度）4511m，其中3m水泥路总长1572m、3.5m水泥路总长2553m、4m水泥路总长386m；水泥路平交道口17处；道路编号桩13处。种植杨树510株；护坡共计15m，其中护坡（格宾挡墙）15m（1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大沟村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320.00hm2，施有机肥640.00t。衬砌明沟（计算长度）1576m，其中承插矩形槽排水沟长度618m、铅丝石笼排水沟长度958m；盖板2处。直埋管3座（DN800mm-6m）；箱涵3座（1m*1m计1座、3m*1m计1座、3m*1.5m计1座）。道路总长（计算长度）4596m，其中3m水泥路总长1557m、3.5m水泥路总长3039m；3m冲刷路段（A型）长41m、3.5m冲刷路段（A型）长37m；水泥路平交道口10处；道路编号桩8处。种植柳树1950株；护坡共计1560m，其中护坡（浆砌石挡墙）1424m（1m高计1244m、1.5m高计36m、2m高计113m、2.5m高计31m），</w:t>
            </w:r>
            <w:r>
              <w:rPr>
                <w:rFonts w:hint="eastAsia" w:ascii="仿宋" w:hAnsi="仿宋" w:cs="宋体"/>
                <w:kern w:val="0"/>
                <w:sz w:val="24"/>
              </w:rPr>
              <w:br w:type="textWrapping"/>
            </w:r>
            <w:r>
              <w:rPr>
                <w:rFonts w:hint="eastAsia" w:ascii="仿宋" w:hAnsi="仿宋" w:cs="宋体"/>
                <w:kern w:val="0"/>
                <w:sz w:val="24"/>
              </w:rPr>
              <w:t>护坡（格宾挡墙）136m（1m高计48m、1.5m高计88m）。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古洞村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200.00hm2，施有机肥400.00t。直埋管3座（DN800mm-6m计1座、DN1000mm-6m计2座）；农桥1座（4m*4.5m）。道路总长（计算长度）4687m，其中3m水泥路总长303m、3.5m水泥路总长4384m；3.5m冲刷路段（A型）长53m；水泥路平交道口10处；道路编号桩8处。种植柳树1675株；护坡共计2056m，其中护坡（浆砌石挡墙）249m（1.5m高计156m、2m高计37m、2.5m高计56m），护坡（石笼护坡）1807m（1m高计1457m、1.5m高计325m、2.5m高计25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郭家村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340.00hm2，施有机肥680.00t。衬砌明沟（计算长度）1310m，其中承插矩形槽排水沟长度1098m、铅丝石笼排水沟长度212m；盖板8处；直埋管1座（DN800mm-6m）；箱涵4座（3m*1m*2孔计2座、3m*1.5m计1座、1m*1m计1座）；农桥5座（8m*4.5m计2座、6m*4.5m计1座、6m*4.5m*2跨计2座）。道路总长（计算长度）5880m，其中3m水泥路总长4741m、3.5m水泥路总长1139m；3m冲刷路段（A型）长139m；水泥路平交道口13处；道路编号桩12处。种植柳树5340株；护坡共计690m，其中护坡（浆砌石挡墙）328m（2m高计54m、2.5m高计132m、3m高计64m、3.5m高计44m、4m高计34m），护坡（格宾挡墙）140m（1.5m高计40m、2m高计100m），护坡（石笼护坡）222m（1.5m高计222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候石村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0.85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573.33hm2，施有机肥1146.67t。衬砌明沟（计算长度）552m，全部为承插矩形槽排水沟；盖板3处。直埋管13座（DN600mm-6m计4座、DN800mm-6m计1座、DN1000mm-6m计8座）；箱涵2座（3m*1.5m*2孔计1座、3m*1m计1座）；农桥2座（8m*4.5m）。道路总长（计算长度）5453m，其中3m水泥路总长3658m、3.5m水泥路总长1795m；3m冲刷路段（A型）长86m、3.5m冲刷路段（A型）长20m；水泥路平交道口10处；道路编号桩9处。种植柳树520株；护坡共计1997m，其中护坡（浆砌石挡墙）441m（1m高），护坡（格宾挡墙）1487m（1m高计227m、1.5m高计492m、2m高计354m、2.5m高计270m、3m高计20m、5m高计124m），护坡（石笼护坡）69m（1m高计43m、1.5m高计16m、2m高计10m）。石笼谷坊15座。</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青山村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246.67hm2，施有机肥493.33t。衬砌明沟（计算长度）914m，全部为承插矩形槽排水沟；盖板12处。直埋管5座（DN800mm-6m计4座、DN800mm-10m计1座）；箱涵5座（3m*1.5m*2孔计1座、3m*1m计3座、2m*1m计1座）；农桥1座（4m*4.5m）。道路总长（计算长度）2800m，全部为3m水泥路；3m冲刷路段（B型）长274m；水泥路平交道口7处；道路编号桩7处。种植柳树2670株；护坡共计1498m，其中护坡（浆砌石挡墙）362m（1m高计254m、1.5m高计32m、2m高计8m、2.5m高计22m、3.5m高计46m），护坡（格宾挡墙）1136m（1m高计291m、1.5m高计607m、2m高计196m、2.5m高计42m）。石笼谷坊1座。</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清泉村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700.00hm2，施有机肥1400.00t。衬砌明沟（计算长度）9299m，全部为承插矩形槽排水沟；盖板278处。直埋管12座（DN400mm-6m计3座、DN600mm-6m计8座、DN800mm-6m计1座）；箱涵4座（2m*1m计1座、3m*1m计3座）；农桥4座（6m*4.5m计1座、8m*4.5m*2跨计3座）。道路总长（计算长度）11680m，其中3m水泥路总长612m、3.5m水泥路总长9848m、4m水泥路总长1220m；3.5m冲刷路段（A型）长205m；水泥路平交道口25处；道路编号桩23处。种植柳树850株；护坡共计1468m，其中护坡（浆砌石挡墙）1059m（1m高计602m、1.5m高计62m、2m高计50m、3m高计144m、3.5m高计201m）；护坡（格宾挡墙）409m（1m高计162m、1.5m高计111m、2.5m高计136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石场村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493.33hm2，施有机肥986.67t。衬砌明沟（计算长度）4268m，全部为承插矩形槽排水沟；盖板51处。直埋管22座（DN600mm-6m计13座、DN800mm-6m计4座、DN800mm-8m计1座、DN1000mm-6m计4座）；箱涵1座（3m*1.5m）；农桥4座（8m*4.5m计2座、6m*4.5m计2座）。道路总长（计算长度）6266m，全部为3m水泥路；3m冲刷路段（A型）长27m、3m过水路段长40m；水泥路平交道口17处；道路编号桩15处。种植柳树1980株；护坡共计494m，其中护坡（浆砌石挡墙）161m（1m高计135m、2m高计26m），护坡（格宾挡墙）196m（1m高计70m、1.5m高计52m、2m高计74m），护坡（石笼护坡）137m（1m高计40m、2m高计62m、4m高计35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条子沟村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306.67hm2，施有机肥613.33t。直埋管12座（DN800mm-6m计6座、DN1000mm-6m计6座）；农桥4座（8m*4.5m）。道路总长（计算长度）3110m，其中3m水泥路总长1754m、3.5m水泥路总长1356m；3m冲刷路段（A型）长43m；水泥路平交道口9处；道路编号桩8处。种植柳树9560株；护坡共计1501m，其中护坡（浆砌石挡墙）215m（1m高计138m、1.5m高计59m、2.5m高计18m），护坡（格宾挡墙）130m（1m高计30m、1.5m高计26m、5m高计74m），护坡（石笼护坡）1156m（1m高计251m、2m高计328m、2.5m高计40m、3m高计317m、4m高计220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铜匠沟村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253.33hm2，施有机肥506.67t。衬砌明沟（计算长度）1493m，其中承插矩形槽排水沟652m、铅丝石笼排水沟长度841m；盖板2处。直埋管16座（DN800mm-6m计14座、DN1000mm-6m计2座）；圆涵3座（DN800mm-6m）。箱涵1座（3m*1m）；农桥8座（8m*4.5m计1座、6m*4.5m计4座、6m*4.5m*2跨计3座）。道路总长（计算长度）2571m，其中3m水泥路总长1475m、3.5m水泥路总长1096m；3m冲刷路段（A型）长45m；水泥路平交道口6处；道路编号桩4处。种植柳树2132株；护坡共计1141m，其中护坡（格宾挡墙）90m（1m高），护坡（石笼护坡）1051m（1.5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西甸子村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266.67hm2，施有机肥533.33t。直埋管4座（DN600mm-6m）；箱涵1座（3m*1m*2孔）。道路总长（计算长度）4234m，全部为3.5m水泥路；3.5m冲刷路段（A型）长32m；水泥路平交道口10处；道路编号桩8处。种植柳树180株；护坡共计767m，其中护坡（浆砌石挡墙）344m（1m高计104m、2m高计120m、2.5m高计70m、4m高计50m）；护坡（格宾挡墙）423m（1m高计174m、2m高计94m、3m高计155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样子边村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新建井16眼，利用原有井4眼，玻璃钢井房20座；配套潜水泵20台；卷盘式喷灌机（型号JP65-300）16台套。衬砌明沟（计算长度）2560m，全部为承插矩形槽排水沟；边沟盖板59处；直埋管11座（DN400mm-4m计4座、DN600mm-6m计1座、DN800mm-6m计4座、DN800mm-10m计2座）；箱涵4座（3m*1m计3座、2m*1m*2孔计1座）。道路总长（计算长度）2004m，全部为3.5m水泥路；3.5m冲刷路段长8m；水泥路平交道口6处；道路编号桩6处。护坡共计480m，其中护坡（浆砌石挡墙）165m（1m高）、护坡（石笼护坡）315m（1.5m高计63m、2.5m高计252m）。输电线路工程：10kV高压线路3.100km、380V低压电缆敷设5.180km。配电装置：变压器8台（S13-M-30/10）；电流互感器8台；变压器配电箱（电缆分接箱）8台；智能型真空断路器3台；避雷器11组；熔断器、计量箱(含三相集抄表)、低压侧防窃电箱各8套（组）；机井启动箱（含软启动开关、卡费计量表）19台。输电线路工程：10kV高压线路2.985km、380V低压电缆敷设4.633km。配电装置：变压器8台（S13-M-30/10）；电流互感器8台；变压器配电箱（电缆分接箱）7台；智能型真空断路器6台；避雷器14组；熔断器、计量箱(含三相集抄表)、低压侧防窃电箱各8套（组）；机井启动箱（含软启动开关、卡费计量表）18台。</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朱家村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面积466.67hm2，施有机肥933.33t。衬砌明沟（计算长度）10302m，其中承插矩形槽排水沟6914m、铅丝石笼排水沟3388m；盖板82处。直埋管22座（DN400mm-4m计1座、DN600mm-6m计14座、DN600mm-8m计1座、DN1000mm-6m计6座）；圆涵10座（DN1000mm-6m）；箱涵1座（2m*1m）；农桥2座（8m*4.5m）。道路总长（计算长度）8870m，其中3.5m水泥路总长8430m、4m水泥路总长440m；水泥路平交道口17处；道路编号桩13处。新建耕地质量监测点1处，种植柳树4416株；护坡共计394m，其中护坡（格宾挡墙）298m（1m高计213m、1.5m高计85m）；护坡（石笼护坡）96m（1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沐石河街道</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5.65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八家子村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1.17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56.80hm2，施有机肥113.60t，衬砌排水沟总长（计算长度）9698m，全部为承插矩形槽衬砌排水沟，边沟盖板177处，直埋管20座（DN600mm-6m计7座、DN800mm-6m计8座、DN1000mm-6m计5座），箱涵6座（2m*1m计1座、2m*1.5m计1座、3m*1m计2座、3m*1.5m*2孔计1座、2m*1m*4孔计1座），农桥2座（8m*4.5m计1座、12m*4.5m计1座），道路总长（计算长度）10481m，其中3.5m水泥路总长9615m、4m水泥路总长866m，3.5m冲刷路段长37m，水泥路平交道口17处，道路编号桩15处，护坡共计817m，其中护坡（浆砌石挡墙）369m（1m高计262m、2m高计84m、3m高计23m），护坡（格宾挡墙）296m（1m高计20m、2m高计236m、2.5m高计40m），护坡（雷诺护垫）152m（1.5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横道村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95.21hm2，施有机肥190.42t，衬砌排水沟总长（计算长度）9316m，其中承插矩形槽衬砌排水沟8038m，雷诺护垫衬砌排水沟1278m，边沟盖板123处，直埋管14座（DN600mm-6m计5座、DN800mm-6m计6座、DN1000mm-6m计3座），箱涵7座（2m*1m计5座、3m*1m计2座），农桥1座（4m*4.5m），道路总长（计算长度）7706m，其中中3.5m水泥路总长2380m、4m水泥路总长5326m，水泥路平交道口10处，道路编号桩10处，植杨树3750株，护坡共计509m，其中护坡（浆砌石挡墙）223m（1m高计47m、1.5m高计23m、2m高计23m、2.5m高计50m、3m高计80m），护坡（格宾挡墙）286m（1.5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桦树村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123.13hm2，施有机肥246.26t，衬砌排水沟总长（计算长度）2746m，全部为承插矩形槽衬砌排水沟，边沟盖板45处，直埋管26座（DN600mm-6m计4座、DN800mm-6m计17座、DN1000mm-6m计5座），箱涵6座（2m*1m计4座、3m*1m计2座），农桥2座（6m*4.5m计1座、8m*4.5m计1座），道路总长（计算长度）6743m，其中3m水泥路总长894m、3.5m水泥路总长5294m、4m水泥路总长555m，3.5m冲刷路段长152m，水泥路平交道口25处，道路编号桩21处，护坡共计909m，其中护坡（浆砌石挡墙）842m（1m高计748m、1.5m高计94m），护坡（雷诺护垫）67m（1.5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康家村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276.23hm2，施有机肥552.46t，衬砌排水沟总长（计算长度）2177m，其中承插矩形槽衬砌排水沟1514m，雷诺护垫衬砌排水沟663m，边沟盖板31处，直埋管19座（DN600mm-5m计1座、DN600mm-6m计3座、DN800mm-6m计13座、DN1000mm-6m计2座），箱涵3座（1m*1m计1座、2m*1m计1座、3m*1m计1座），农桥1座（4m*4.5m），道路总长（计算长度）8225m，其中3m水泥路总长898m、3.5m水泥路总长4251m、4m水泥路总长3076m，4m冲刷路段长31m，水泥路平交道口12处，道路编号桩11处，护坡共计1210m，其中护坡（浆砌石挡墙）1170m（1m高计506m、2m高计252m、3m高计412m），护坡（雷诺护垫）40m（3m高计12m、4m高计28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碾子沟村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土壤改良面积33.22 hm2，施有机肥66.44t，衬砌排水沟总长（计算长度）4062m，全部为承插矩形槽衬砌排水沟，边沟盖板78处，直埋管3座（DN600mm-6m计2座、DN600mm-8m计1座），箱涵3座（2m*1m），道路总长（计算长度）1996m，其中3m水泥路总长965m、3.5m水泥路总长1031m，3.5m冲刷路段长5m，水泥路平交道口2处，道路编号桩4处，护坡共计223m，其中护坡（浆砌石挡墙）141m（1m高），护坡（格宾挡墙）70m（1m高计20m、2m高计50m），护坡（雷诺护垫）12m（1.5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太和村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0.96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72.12hm2，施有机肥144.24t，衬砌排水沟总长（计算长度）218m，全部为承插矩形槽衬砌排水沟，边沟盖板2处，直埋管32座（DN600mm-6m计14座、DN800mm-6m计11座、DN800mm-8m计1座、DN1000mm-4m计1座、DN1000mm-6m计5座），箱涵18座（2m*1m计4座、3m*1m计14座），农桥6座（4m*4.5m计1座、6m*4.5m计2座、8m*4.5m计3座），道路总长（计算长度）8673m，其中3m水泥路总长150m、3.5m水泥路总长8523m，3.5m冲刷路段长82m，水泥路平交道口16处，道路编号桩16处，护坡共计2745m，其中护坡（浆砌石挡墙）2606m（1m高计2388m、1.5m高计161m、2m高计30m、2.5m高计27m），护坡（格宾挡墙）4m（1m高），护坡（雷诺护垫）135m（1.5m高计54m、2m高计81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张家村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58.11hm2，施有机肥116.22t，衬砌排水沟总长（计算长度）1467m，全部为承插矩形槽衬砌排水沟，边沟盖板21处，直埋管11座（DN600mm-6m计3座、DN800mm-5m计1座、DN800mm-6m计6座、DN1000mm-6m计1座），箱涵4座（2m*1m计3座、3m*1m计1座），道路总长（计算长度）4638m，其中3.5m水泥路总长1426m、4m水泥路总长2555m、4.5m水泥路总长657m，4m冲刷路段长10m，水泥路平交道口7处，道路编号桩7处。</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3.2</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成家村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土壤改良面积76.21hm2，施有机肥152.42t。排水沟护砌（计算长度）1201m，全部为铅丝石笼排水沟。</w:t>
            </w:r>
            <w:r>
              <w:rPr>
                <w:rFonts w:hint="eastAsia" w:ascii="仿宋" w:hAnsi="仿宋" w:cs="宋体"/>
                <w:kern w:val="0"/>
                <w:sz w:val="24"/>
              </w:rPr>
              <w:br w:type="textWrapping"/>
            </w:r>
            <w:r>
              <w:rPr>
                <w:rFonts w:hint="eastAsia" w:ascii="仿宋" w:hAnsi="仿宋" w:cs="宋体"/>
                <w:kern w:val="0"/>
                <w:sz w:val="24"/>
              </w:rPr>
              <w:t>直埋管25座（DN600mm-6m计18座、DN800mm-6m计3座、DN1000mm-6m计4座）；箱涵9座（3m*1m计1座、1m*1m计5座、2m*1m计3座）；农桥5座（4m*4.5m计1座、8m*4.5m计4座）。田间道路总长（计算长度）6643m，其中3m水泥路总长5124m、3.5m水泥路总长1519m；3m冲刷路段（A型）长93m；3m冲刷路段（B型）长99m；水泥路平交道口15处；道路编号桩12处。护坡（浆砌石挡墙）496m（1m高207m、1.5m高191m、2m高98m）；护坡（格宾挡墙）893m（1.5m高779m、2m高114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冯家村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84.86hm2，施有机肥169.72t。排水沟护砌（计算长度）1649m，全部为承插矩形槽；边沟盖板19处；圆涵1座（DN1000mm-8m双排）、直埋管27座（DN600mm-6m计20座、DN800mm-6m计3座、DN1000mm-6m计4座）；箱涵10座（3m*1m计6座、1m*1m计2座、2m*1m计1座、2m*1m*2孔计1座）；农桥1座（6m*4.5m）。田间道路总长（计算长度）10804m，其中3m水泥路总长9062m、3.5m水泥路总长1742m；3m冲刷路段（A型）长61m；3m冲刷路段（B型）长334m；水泥路平交道口17处；道路编号桩15处。护坡（浆砌石挡墙）357m（1m高214m、2m高77m、2.5m高55m、3m高11m）；护坡（格宾挡墙）418m（1.5m高206m、2.5m高164m、3m高48m）；护坡（雷诺护垫）1724m（1.5m高1521m、2m高57m、2.5m高146m）；铅丝石笼谷坊3座。</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纪家村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0.88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128.50hm2，施有机肥257.00t。排水沟护砌（计算长度）3527m，其中承插矩形槽排水沟1959m；铅丝石笼排水沟1568m；边沟盖板57处；直埋管12座（DN400mm-6m计2座、DN600mm-6m计8座、DN800mm-6m计1座、DN800mm-12m计1座）；箱涵3座（2m*1m计1座、1m*1m计2座）；农桥2座（6m*4.5m）。田间道路总长（计算长度）7726m，其中3m水泥路总长7442m、3.5m水泥路总长284m；3m冲刷路段（A型）长80m。水泥路平交道口18处；道路编号桩15处。护坡（浆砌石挡墙）95m（1m高40m、2.5m高55m）；护坡（格宾挡墙）116m（1.5m高40、2.5m高76m）；护坡（雷诺护垫）284m（4m高284m）；铅丝石笼谷坊1座。</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马场村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75.80hm2，施有机肥151.60t。排水沟护砌（计算长度）3359m，全部为承插矩形槽；边沟盖板65处；直埋管1座（DN600mm-6m）。田间道路总长（计算长度）2254m，全部为3.5m水泥路；水泥路平交道口8处；道路编号桩5处。栽植杨树1270株；护坡（雷诺护垫）84m（2.5m高）。</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双成村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82.33hm2，施有机肥164.66t。直埋管2座（DN400mm-6m计1座、DN600mm-6m计1座）。田间道路总长（计算长度）2502m，全部为3m水泥路；3m冲刷路段（A型）长35m；水泥路平交道口4处；道路编号桩4处。护坡（浆砌石挡墙）1707m（1m高275m、1.5m高1432m）。</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2022</w:t>
            </w:r>
            <w:r>
              <w:rPr>
                <w:rFonts w:hint="eastAsia" w:ascii="仿宋" w:hAnsi="仿宋" w:cs="Times New Roman"/>
                <w:kern w:val="0"/>
                <w:sz w:val="24"/>
              </w:rPr>
              <w:t>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城子街街道</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6.25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百合村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土壤改良面积140hm2。施放有机肥420t。施放生物菌剂12.6t。排水沟2060m。方涵20座。管涵2座。水泥路1979m。过水路面18m。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柴福村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土壤改良面积446.67hm2。施放有机肥1340.01t。施放生物菌剂40.2t。排水沟2951m。方涵14座。农桥座。管涵座。水泥路7703m。过水路面117m。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城东村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土壤改良面积206.67hm2。施放有机肥620.01t。施放生物菌剂18.6t。排水沟2893m。方涵8座。管涵12座。水泥路4203m。过水路面10m。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城子街村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土壤改良面积220hm2。施放有机肥660t。施放生物菌剂19.8t。方涵2座。农桥1座。管涵10座。水泥路5860m。过水路面28m。护坡1011m。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大贝村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土壤改良面积280hm2。施放有机肥840t。施放生物菌剂25.2t。排水沟318m。方涵2座。管涵2座。水泥路349m。过水路面m。护坡134m。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柳溪村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土壤改良面积240hm2。施放有机肥720t。施放生物菌剂21.6t。排水沟4259m。方涵13座。农桥2座。管涵3座。水泥路2086m。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六台村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土壤改良面积280hm2。施放有机肥840t。施放生物菌剂25.2t。排水沟386m。方涵5座。农桥1座。管涵4座。水泥路2343m。过水路面82m。护坡1075m。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七台村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土壤改良面积286.67hm2。施放有机肥860.01t。施放生物菌剂25.8t。排水沟1490m。方涵3座。农桥1座。管涵2座。水泥路6465m。过水路面58m。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双川村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土壤改良面积360hm2。施放有机肥1080t。施放生物菌剂32.4t。排水沟65m。农桥1座。管涵1座。水泥路3137m。过水路面85m。护坡308m。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王家岭村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土壤改良面积760hm2。施放有机肥2280t。施放生物菌剂68.4t。排水沟5947m。方涵17座。管涵5座。水泥路14402m。过水路面110m。护坡442m。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义和村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土壤改良面积346.67hm2。施放有机肥1040.01t。施放生物菌剂31.2t。排水沟3597m。方涵9座。管涵3座。水泥路5955m。过水路面26m。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长岭村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土壤改良面积600hm2。施放有机肥1800t。施放生物菌剂54t。排水沟5006m。方涵21座。农桥1座。管涵23座。水泥路14354m。过水路面100m。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上河湾镇</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14</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大窝堡村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1.22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土壤改良面积733.33hm2，施有机肥2200t。涵管12座。方涵1座。石笼网箱护岸3088米。田间道路总长（计算长度）10828m。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福林村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土壤改良面积300hm2，施有机肥900t。涵管5座。田间道路总长（计算长度）5148m。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红朵村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土壤改良面积306.67hm2，施有机肥920t。涵管17座。方涵1座。田间道路总长（计算长度）7018m。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桦林村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0.83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土壤改良面积366.67hm2，施有机肥1100t。涵管13座。方涵5座。农桥8座。石笼网箱护岸3432m。田间道路总长（计算长度）10440m。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黄花村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土壤改良面积433.33hm2，施有机肥1300t。涵管6座。方涵2座。预制混凝土连锁块护砌885m。田间道路总长（计算长度）7537m。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焦家村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土壤改良面积426.67hm2，施有机肥1280t。涵管3座。方涵2座。石笼网箱护岸4196m。农桥2座。田间道路总长（计算长度）5943m。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南甸子村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土壤改良面积413.33hm2，施有机肥1240t。涵管6座。方涵1座。田间道路总长（计算长度）6625m。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三道村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0.87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土壤改良面积566.67hm2，施有机肥1700t。涵管14座。方涵1座。石笼网箱护岸1012m。土渠3186m。田间道路总长（计算长度）10879m。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三台村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土壤改良面积666.67hm2，施有机肥2000t。涵管6座。方涵1座。田间道路总长（计算长度）10221m。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上河湾村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土壤改良面积193.33hm2，施有机肥580t。田间道路总长（计算长度）1695m。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石羊村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土壤改良面积300hm2，施有机肥900t。管涵2座。田间道路总长（计算长度）2585m。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土壤改良面积333.33hm2，施有机肥1000t。管涵8座。田间道路总长（计算长度）11056m。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双合村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土壤改良面积620hm2，施有机肥1860t。管涵6座。方涵2座。田间道路总长（计算长度）13339m。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五台村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土壤改良面积433.33hm2，施有机肥1300t。管涵3座。方涵2座。田间道路总长（计算长度）8806m。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西沟村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土壤改良面积320hm2，施有机肥960t。管涵3座。田间道路总长（计算长度）920m。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于家村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0.96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土壤改良面积493.33hm2，施有机肥1480t。涵管4座。方涵12座。农桥1座。石笼网箱护岸7235m。预制混凝土连锁块护砌1038米。农桥1座。田间道路总长（计算长度）9568m。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玉丰村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土壤改良面积353.33hm2，施有机肥1060t。涵管3座。田间道路总长（计算长度）4170m。</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育林村</w:t>
            </w:r>
          </w:p>
        </w:tc>
        <w:tc>
          <w:tcPr>
            <w:tcW w:w="70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0.94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土壤改良面积540hm2，施有机肥1620t。涵管9座。方涵1座。田间道路总长（计算长度）7888m。</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2023年</w:t>
            </w:r>
          </w:p>
        </w:tc>
        <w:tc>
          <w:tcPr>
            <w:tcW w:w="992"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沐石河街道</w:t>
            </w:r>
          </w:p>
        </w:tc>
        <w:tc>
          <w:tcPr>
            <w:tcW w:w="709"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2.65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沐石河村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赵家村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卢家村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增施有机肥0.8万亩,生产路2公里,机耕路6.33公里,渠道及排水沟8.2公里,管涵24座,农道桥2座,等工程措施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后梨村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增施有机肥0.2万亩,生产路2.4公里,渠道及排水沟2.05公里,管涵6座,等工程措施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前梨村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增施有机肥0.35万亩,生产路4.2公里,渠道及排水沟3.59公里,管涵10座,,挡墙护砌0.13公里等工程措施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椴树村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增施有机肥0.7万亩,生产路2公里,机耕路5.33公里,渠道及排水沟7.17公里,管涵21座,农道桥2座,等工程措施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2024年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苇子沟街道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3</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二道林子村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增施有机肥1.06万亩,生产路4公里,机耕路7公里,渠道及排水沟11公里,管涵32座,农道桥2座等工程措施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官地村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0.88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增施有机肥0.88万亩,生产路3公里,机耕路7公里,渠道及排水沟9公里,管涵26座,农道桥2座等工程措施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靠山村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增施有机肥1.06万亩,生产路4公里,机耕路7公里,渠道及排水沟11公里,管涵32座,农道桥2座等工程措施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2025年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土们岭街道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3</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半拉山村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增施有机肥0.17万亩,生产路2公里,渠道及排水沟2公里,管涵5座等工程措施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大屯村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增施有机肥0.27万亩,生产路4公里,渠道及排水沟3公里,管涵8座,挡墙护砌0.1公里等工程措施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丁家村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增施有机肥0.65万亩,生产路2公里,机耕路4.83公里,渠道及排水沟6.66公里,管涵19座,农道桥2座等工程措施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二道沟村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增施有机肥0.24万亩,生产路3公里,渠道及排水沟2公里,管涵7座,挡墙护砌0.1公里等工程措施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荒山村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增施有机肥0.13万亩,生产路1.6公里,渠道及排水沟2公里,管涵3座等工程措施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罗群村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增施有机肥0.37万亩,生产路4.5公里,渠道及排水沟3.8公里,管涵11座,挡墙护砌0.1公里等工程措施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马安山村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0.07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增施有机肥0.07万亩,生产路1公里,渠道及排水沟1公里,管涵2座等工程措施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南林子村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增施有机肥0.32万亩,生产路3.8公里,渠道及排水沟3.3公里,管涵9座,挡墙护砌0.1公里等工程措施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南苇村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增施有机肥0.13万亩,生产路1.56公里,渠道及排水沟1.33公里,管涵3座等工程措施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山咀村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增施有机肥0.17万亩,生产路2公里,渠道及排水沟2公里,管涵5座，农道桥1座等工程措施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石龙村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增施有机肥0.2万亩,生产路2.4公里,渠道及排水沟2公里,管涵6座等工程措施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小二道沟村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0.05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增施有机肥0.05万亩,渠道及排水沟1公里,管涵1座等工程措施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尤家村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增施有机肥0.23万亩,生产路2公里,渠道及排水沟3公里,管涵6座,挡墙护砌0.1公里等工程措施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2026</w:t>
            </w:r>
            <w:r>
              <w:rPr>
                <w:rFonts w:hint="eastAsia" w:ascii="仿宋" w:hAnsi="仿宋" w:cs="Times New Roman"/>
                <w:kern w:val="0"/>
                <w:sz w:val="24"/>
              </w:rPr>
              <w:t>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胡家回族乡</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1.65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宝山村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增施有机肥0.3万亩,生产路3.6公里,渠道及排水沟3公里,管涵9座,挡墙护砌0.1公里等工程措施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蜂蜜村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0.13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增施有机肥0.13万亩,生产路1.6公里,渠道及排水沟1.5公里,管涵3座等工程措施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葛家村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增施有机肥0.1万亩,生产路1.2公里,渠道及排水沟1.5公里,管涵3座等工程措施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罗古村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增施有机肥0.63万亩,生产路2公里,机耕路4公里,渠道及排水沟6.46公里,管涵19座,农道桥1座等工程措施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小韩村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增施有机肥0.48万亩,生产路5.76公里,渠道及排水沟4.92公里,管涵14座,农道桥1座等工程措施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莽卡满族乡</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1.01</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石屯村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0.08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增施有机肥0.08万亩，渠道及排水沟1公里,管涵2座等工程措施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松江村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增施有机肥0.29万亩,生产路3.5公里,渠道及排水沟3公里,管涵8座,挡墙护砌0.1公里等工程措施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张庄村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增施有机肥0.64万亩,生产路3公里,机耕路4公里,渠道及排水沟6.56公里,管涵19座,农道桥2座等工程措施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1.54</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北山村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增施有机肥0.48万亩,生产路5.76公里,渠道及排水沟4.92公里,管涵14座,农道桥1座等工程措施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力明村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增施有机肥0.33万亩,生产路3.96公里,渠道及排水沟3.38公里,管涵10座,挡墙护砌0.11公里等工程措施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马场村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增施有机肥0.59万亩,生产路2公里,机耕路4.23公里,渠道及排水沟6.05公里,管涵17座,农道桥1座等工程措施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0.13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增施有机肥0.13万亩,生产路1.56公里,渠道及排水沟1.33公里,管涵3座等工程措施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西哈村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0.01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增施有机肥0.01万亩,生产路0.12公里,渠道及排水沟0.1公里等工程措施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2027年</w:t>
            </w:r>
          </w:p>
        </w:tc>
        <w:tc>
          <w:tcPr>
            <w:tcW w:w="992"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苇子沟街道</w:t>
            </w:r>
          </w:p>
        </w:tc>
        <w:tc>
          <w:tcPr>
            <w:tcW w:w="709"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1.5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庆阳村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双桥子村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增施有机肥0.4万亩,生产路4.8公里,渠道及排水沟4.1公里,管涵12座,,挡墙护砌0.14公里等工程措施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新开村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增施有机肥0.2万亩,生产路2.4公里,渠道及排水沟2.05公里,管涵6座,等工程措施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月明楼村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增施有机肥0.6万亩,生产路2公里,机耕路4.33公里,渠道及排水沟6.15公里,管涵18座,农道桥1座,等工程措施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兴隆街道</w:t>
            </w:r>
          </w:p>
        </w:tc>
        <w:tc>
          <w:tcPr>
            <w:tcW w:w="709"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3.5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朝阳村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大荒地村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增施有机肥0.6万亩,生产路2公里,机耕路4.33公里,渠道及排水沟6.15公里,管涵18座,农道桥1座,等工程措施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东岗子村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增施有机肥0.22万亩,生产路2.64公里,渠道及排水沟2.25公里,管涵6座,,挡墙护砌0.08公里等工程措施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韩家村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0.63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增施有机肥0.63万亩,生产路2公里,机耕路4.63公里,渠道及排水沟6.46公里,管涵19座,农道桥1座,等工程措施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和新村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增施有机肥0.42万亩,生产路5.04公里,渠道及排水沟4.3公里,管涵12座,农道桥1座,等工程措施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龙凤村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增施有机肥0.46万亩,生产路5.52公里,渠道及排水沟4.71公里,管涵13座,农道桥1座,等工程措施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前岗子村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0.57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增施有机肥0.57万亩,生产路2公里,机耕路4.03公里,渠道及排水沟5.84公里,管涵17座,农道桥1座,等工程措施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五家子村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2028年</w:t>
            </w:r>
          </w:p>
        </w:tc>
        <w:tc>
          <w:tcPr>
            <w:tcW w:w="992"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纪家街道</w:t>
            </w:r>
          </w:p>
        </w:tc>
        <w:tc>
          <w:tcPr>
            <w:tcW w:w="709"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2</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二十家子村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0.83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增施有机肥0.83万亩,生产路2公里,机耕路6.63公里,渠道及排水沟8.5公里,管涵25座,农道桥2座,等工程措施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腰房村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增施有机肥0.26万亩,生产路3.12公里,渠道及排水沟2.66公里,管涵7座,,挡墙护砌0.1公里等工程措施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腰窝堡村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增施有机肥0.45万亩,生产路5.4公里,渠道及排水沟4.61公里,管涵13座,农道桥1座,等工程措施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尹家村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增施有机肥0.29万亩,生产路3.48公里,渠道及排水沟2.97公里,管涵8座,,挡墙护砌0.11公里等工程措施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永增福村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0.17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增施有机肥0.17万亩,生产路2.04公里,渠道及排水沟1.74公里,管涵5座,等工程措施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九郊街道</w:t>
            </w:r>
          </w:p>
        </w:tc>
        <w:tc>
          <w:tcPr>
            <w:tcW w:w="709"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2</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拉它泡村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增施有机肥0.4万亩,生产路4.8公里,渠道及排水沟4.1公里,管涵12座,,挡墙护砌0.14公里等工程措施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聂家村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增施有机肥0.23万亩,生产路2.76公里,渠道及排水沟2.36公里,管涵6座,,挡墙护砌0.09公里等工程措施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吴家店村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增施有机肥0.21万亩,生产路2.52公里,渠道及排水沟2.15公里,管涵6座,等工程措施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小河沿子村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0.43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增施有机肥0.43万亩,生产路5.16公里,渠道及排水沟4.41公里,管涵13座,,挡墙护砌0.15公里等工程措施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沿河村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增施有机肥0.24万亩,生产路2.88公里,渠道及排水沟2.46公里,管涵7座,,挡墙护砌0.09公里等工程措施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杨木林子村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增施有机肥0.21万亩,生产路2.52公里,渠道及排水沟2.15公里,管涵6座,等工程措施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永富村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增施有机肥0.28万亩,生产路3.36公里,渠道及排水沟2.87公里,管涵8座,,挡墙护砌0.1公里等工程措施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龙嘉堡镇</w:t>
            </w:r>
          </w:p>
        </w:tc>
        <w:tc>
          <w:tcPr>
            <w:tcW w:w="709" w:type="dxa"/>
            <w:vMerge w:val="restart"/>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0.5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吉林省九台劳动教养管理所</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增施有机肥0.3万亩,生产路3.6公里,渠道及排水沟3.07公里,管涵9座,,挡墙护砌0.11公里等工程措施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沿河村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增施有机肥0.2万亩,生产路2.4公里,渠道及排水沟2.05公里,管涵6座,等工程措施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苇子沟街道</w:t>
            </w:r>
          </w:p>
        </w:tc>
        <w:tc>
          <w:tcPr>
            <w:tcW w:w="709" w:type="dxa"/>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Times New Roman"/>
                <w:kern w:val="0"/>
                <w:sz w:val="24"/>
              </w:rPr>
            </w:pPr>
            <w:r>
              <w:rPr>
                <w:rFonts w:hint="eastAsia" w:ascii="仿宋" w:hAnsi="仿宋" w:cs="Times New Roman"/>
                <w:kern w:val="0"/>
                <w:sz w:val="24"/>
              </w:rPr>
              <w:t>0.5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杨家烧锅村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hint="eastAsia" w:ascii="仿宋" w:hAnsi="仿宋" w:cs="Times New Roman"/>
                <w:kern w:val="0"/>
                <w:sz w:val="24"/>
              </w:rPr>
              <w:t>0.5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增施有机肥0.5万亩,生产路2公里,机耕路3.33公里,渠道及排水沟5.12公里,管涵15座,农道桥1座,等工程措施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2029</w:t>
            </w:r>
            <w:r>
              <w:rPr>
                <w:rFonts w:hint="eastAsia" w:ascii="仿宋" w:hAnsi="仿宋" w:cs="Times New Roman"/>
                <w:kern w:val="0"/>
                <w:sz w:val="24"/>
              </w:rPr>
              <w:t>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波泥河街道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板石村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0.18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增施有机肥0.18万亩,生产路2.16公里,渠道及排水沟1.84公里,管涵5座等工程措施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卞家村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增施有机肥0.6万亩,生产路2公里,机耕路4.33公里,渠道及排水沟6.15公里,管涵18座,农道桥1座等工程措施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波泥河村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增施有机肥0.24万亩,生产路2.88公里,渠道及排水沟2.46公里,管涵7座,挡墙护砌0.1公里等工程措施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大顶子村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0.2</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增施有机肥0.2万亩,生产路2.4公里,渠道及排水沟2.05公里,管涵6座等工程措施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东大地村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0.31</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增施有机肥0.31万亩,生产路3.72公里,渠道及排水沟3.18公里,管涵9座,挡墙护砌0.1公里等工程措施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黄家店村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增施有机肥0.45万亩,生产路5.4公里,渠道及排水沟4.61公里,管涵13座,农道桥1座等工程措施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建乡村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增施有机肥0.79万亩,生产路2公里,机耕路6.23公里,渠道及排水沟8.09公里,管涵24座,农道桥2座等工程措施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金家岗村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增施有机肥0.55万亩,生产路2公里,机耕路3.83公里,渠道及排水沟5.64公里,管涵16座,农道桥1座等工程措施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锦绣村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0.19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增施有机肥0.19万亩,生产路2.28公里,渠道及排水沟1.95公里,管涵5座等工程措施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马兴村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0.79</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增施有机肥0.79万亩,生产路2公里,机耕路6.23公里,渠道及排水沟8.09公里,管涵24座,农道桥2座等工程措施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清水村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增施有机肥0.7万亩,生产路2公里,机耕路5.33公里,渠道及排水沟7.17公里,管涵21座,农道桥2座等工程措施</w:t>
            </w:r>
          </w:p>
        </w:tc>
      </w:tr>
      <w:tr>
        <w:tblPrEx>
          <w:tblCellMar>
            <w:top w:w="0" w:type="dxa"/>
            <w:left w:w="108" w:type="dxa"/>
            <w:bottom w:w="0" w:type="dxa"/>
            <w:right w:w="108" w:type="dxa"/>
          </w:tblCellMar>
        </w:tblPrEx>
        <w:trPr>
          <w:trHeight w:val="374" w:hRule="atLeast"/>
          <w:jc w:val="center"/>
        </w:trPr>
        <w:tc>
          <w:tcPr>
            <w:tcW w:w="5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2030</w:t>
            </w:r>
            <w:r>
              <w:rPr>
                <w:rFonts w:hint="eastAsia" w:ascii="仿宋" w:hAnsi="仿宋" w:cs="Times New Roman"/>
                <w:kern w:val="0"/>
                <w:sz w:val="24"/>
              </w:rPr>
              <w:t>年</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东湖街道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4.13</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放牛沟村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增施有机肥0.53万亩,生产路2公里,机耕路3.63公里,渠道及排水沟5.43公里,管涵16座,农道桥1座等工程措施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甘家岭村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增施有机肥0.6万亩,生产路2公里,机耕路4.33公里,渠道及排水沟6.15公里,管涵18座,农道桥1座等工程措施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黑林村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增施有机肥0.4万亩,生产路4.8公里,渠道及排水沟4.1公里,管涵12座,挡墙护砌0.14公里等工程措施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增施有机肥0.64万亩,生产路2公里,机耕路4.73公里,渠道及排水沟6.56公里,管涵19座,挡墙护砌0.1公里等工程措施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五一村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0.58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增施有机肥0.58万亩,生产路2公里,机耕路4.13公里,渠道及排水沟5.94公里,管涵17座,农道桥1座等工程措施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羊草村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0.75</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增施有机肥0.75万亩,生产路2公里,机耕路5.83公里,渠道及排水沟7.68公里,管涵22座,农道桥2座等工程措施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腰站村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0.63</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增施有机肥0.63万亩,生产路2公里,机耕路4.63公里,渠道及排水沟6.46公里,管涵19座,挡墙护砌0.1公里等工程措施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卡伦街道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0.43</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东风村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0.08</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增施有机肥0.08万亩,生产路0.96公里,渠道及排水沟0.82公里,管涵2座等工程措施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任家村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0.34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增施有机肥0.34万亩,生产路4.08公里,渠道及排水沟3.48公里,管涵10座,挡墙护砌0.1公里等工程措施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龙嘉堡镇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1.24</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草城子村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增施有机肥0.6万亩,生产路2公里,机耕路4.33公里,渠道及排水沟6.15公里,管涵18座,挡墙护砌0.1公里等工程措施</w:t>
            </w:r>
          </w:p>
        </w:tc>
      </w:tr>
      <w:tr>
        <w:tblPrEx>
          <w:tblCellMar>
            <w:top w:w="0" w:type="dxa"/>
            <w:left w:w="108" w:type="dxa"/>
            <w:bottom w:w="0" w:type="dxa"/>
            <w:right w:w="108" w:type="dxa"/>
          </w:tblCellMar>
        </w:tblPrEx>
        <w:trPr>
          <w:trHeight w:val="374" w:hRule="atLeast"/>
          <w:jc w:val="center"/>
        </w:trPr>
        <w:tc>
          <w:tcPr>
            <w:tcW w:w="534"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Times New Roman"/>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翻身村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Times New Roman"/>
                <w:kern w:val="0"/>
                <w:sz w:val="24"/>
              </w:rPr>
            </w:pPr>
            <w:r>
              <w:rPr>
                <w:rFonts w:ascii="仿宋" w:hAnsi="仿宋" w:cs="Times New Roman"/>
                <w:kern w:val="0"/>
                <w:sz w:val="24"/>
              </w:rPr>
              <w:t>0.64</w:t>
            </w:r>
          </w:p>
        </w:tc>
        <w:tc>
          <w:tcPr>
            <w:tcW w:w="481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增施有机肥0.64万亩,生产路2公里,机耕路4.73公里,渠道及排水沟6.56公里,管涵19座,农道桥2座等工程措施</w:t>
            </w:r>
          </w:p>
        </w:tc>
      </w:tr>
    </w:tbl>
    <w:p>
      <w:pPr>
        <w:pStyle w:val="2"/>
        <w:ind w:left="560" w:firstLine="560"/>
      </w:pPr>
    </w:p>
    <w:p>
      <w:pPr>
        <w:pStyle w:val="2"/>
        <w:ind w:left="560" w:firstLine="560"/>
      </w:pPr>
      <w:r>
        <w:br w:type="page"/>
      </w:r>
    </w:p>
    <w:p>
      <w:pPr>
        <w:spacing w:line="600" w:lineRule="exact"/>
        <w:ind w:firstLine="0" w:firstLineChars="0"/>
        <w:rPr>
          <w:b/>
        </w:rPr>
      </w:pPr>
      <w:r>
        <w:rPr>
          <w:rFonts w:hint="eastAsia"/>
          <w:b/>
        </w:rPr>
        <w:t>附表</w:t>
      </w:r>
      <w:r>
        <w:rPr>
          <w:b/>
        </w:rPr>
        <w:t xml:space="preserve">2           </w:t>
      </w:r>
      <w:r>
        <w:rPr>
          <w:rFonts w:hint="eastAsia"/>
          <w:b/>
        </w:rPr>
        <w:t>改造提升高标准农田（202</w:t>
      </w:r>
      <w:r>
        <w:rPr>
          <w:b/>
        </w:rPr>
        <w:t>3</w:t>
      </w:r>
      <w:r>
        <w:rPr>
          <w:rFonts w:hint="eastAsia"/>
          <w:b/>
        </w:rPr>
        <w:t>-20</w:t>
      </w:r>
      <w:r>
        <w:rPr>
          <w:b/>
        </w:rPr>
        <w:t>30</w:t>
      </w:r>
      <w:r>
        <w:rPr>
          <w:rFonts w:hint="eastAsia"/>
          <w:b/>
        </w:rPr>
        <w:t xml:space="preserve">年）规划项目库 </w:t>
      </w:r>
      <w:r>
        <w:rPr>
          <w:b/>
        </w:rPr>
        <w:t xml:space="preserve">       </w:t>
      </w:r>
      <w:r>
        <w:rPr>
          <w:rFonts w:hint="eastAsia"/>
          <w:b/>
        </w:rPr>
        <w:t>万亩</w:t>
      </w:r>
    </w:p>
    <w:tbl>
      <w:tblPr>
        <w:tblStyle w:val="29"/>
        <w:tblW w:w="8755" w:type="dxa"/>
        <w:jc w:val="center"/>
        <w:tblLayout w:type="fixed"/>
        <w:tblCellMar>
          <w:top w:w="0" w:type="dxa"/>
          <w:left w:w="108" w:type="dxa"/>
          <w:bottom w:w="0" w:type="dxa"/>
          <w:right w:w="108" w:type="dxa"/>
        </w:tblCellMar>
      </w:tblPr>
      <w:tblGrid>
        <w:gridCol w:w="540"/>
        <w:gridCol w:w="986"/>
        <w:gridCol w:w="709"/>
        <w:gridCol w:w="992"/>
        <w:gridCol w:w="709"/>
        <w:gridCol w:w="4819"/>
      </w:tblGrid>
      <w:tr>
        <w:tblPrEx>
          <w:tblCellMar>
            <w:top w:w="0" w:type="dxa"/>
            <w:left w:w="108" w:type="dxa"/>
            <w:bottom w:w="0" w:type="dxa"/>
            <w:right w:w="108" w:type="dxa"/>
          </w:tblCellMar>
        </w:tblPrEx>
        <w:trPr>
          <w:trHeight w:val="374" w:hRule="atLeast"/>
          <w:tblHeader/>
          <w:jc w:val="center"/>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
                <w:bCs/>
                <w:kern w:val="0"/>
                <w:sz w:val="24"/>
              </w:rPr>
            </w:pPr>
            <w:r>
              <w:rPr>
                <w:rFonts w:hint="eastAsia" w:ascii="仿宋" w:hAnsi="仿宋" w:cs="宋体"/>
                <w:b/>
                <w:bCs/>
                <w:kern w:val="0"/>
                <w:sz w:val="24"/>
              </w:rPr>
              <w:t>年份</w:t>
            </w:r>
          </w:p>
        </w:tc>
        <w:tc>
          <w:tcPr>
            <w:tcW w:w="9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 w:val="24"/>
              </w:rPr>
            </w:pPr>
            <w:r>
              <w:rPr>
                <w:rFonts w:hint="eastAsia" w:ascii="仿宋" w:hAnsi="仿宋" w:cs="宋体"/>
                <w:b/>
                <w:bCs/>
                <w:kern w:val="0"/>
                <w:sz w:val="24"/>
              </w:rPr>
              <w:t>乡级行政区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 w:val="24"/>
              </w:rPr>
            </w:pPr>
            <w:r>
              <w:rPr>
                <w:rFonts w:hint="eastAsia" w:ascii="仿宋" w:hAnsi="仿宋" w:cs="宋体"/>
                <w:b/>
                <w:bCs/>
                <w:kern w:val="0"/>
                <w:sz w:val="24"/>
              </w:rPr>
              <w:t>规划面积</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 w:val="24"/>
              </w:rPr>
            </w:pPr>
            <w:r>
              <w:rPr>
                <w:rFonts w:hint="eastAsia" w:ascii="仿宋" w:hAnsi="仿宋" w:cs="宋体"/>
                <w:b/>
                <w:bCs/>
                <w:kern w:val="0"/>
                <w:sz w:val="24"/>
              </w:rPr>
              <w:t>村级行政区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 w:val="24"/>
              </w:rPr>
            </w:pPr>
            <w:r>
              <w:rPr>
                <w:rFonts w:hint="eastAsia" w:ascii="仿宋" w:hAnsi="仿宋" w:cs="宋体"/>
                <w:b/>
                <w:bCs/>
                <w:kern w:val="0"/>
                <w:sz w:val="24"/>
              </w:rPr>
              <w:t>规划面积</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
                <w:bCs/>
                <w:kern w:val="0"/>
                <w:sz w:val="24"/>
              </w:rPr>
            </w:pPr>
            <w:r>
              <w:rPr>
                <w:rFonts w:hint="eastAsia" w:ascii="仿宋" w:hAnsi="仿宋" w:cs="宋体"/>
                <w:b/>
                <w:bCs/>
                <w:kern w:val="0"/>
                <w:sz w:val="24"/>
              </w:rPr>
              <w:t>拟建内容</w:t>
            </w:r>
          </w:p>
        </w:tc>
      </w:tr>
      <w:tr>
        <w:tblPrEx>
          <w:tblCellMar>
            <w:top w:w="0" w:type="dxa"/>
            <w:left w:w="108" w:type="dxa"/>
            <w:bottom w:w="0" w:type="dxa"/>
            <w:right w:w="108" w:type="dxa"/>
          </w:tblCellMar>
        </w:tblPrEx>
        <w:trPr>
          <w:trHeight w:val="374" w:hRule="atLeast"/>
          <w:jc w:val="center"/>
        </w:trPr>
        <w:tc>
          <w:tcPr>
            <w:tcW w:w="540" w:type="dxa"/>
            <w:vMerge w:val="restart"/>
            <w:tcBorders>
              <w:top w:val="single" w:color="auto" w:sz="4" w:space="0"/>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r>
              <w:rPr>
                <w:rFonts w:hint="eastAsia" w:ascii="仿宋" w:hAnsi="仿宋" w:cs="宋体"/>
                <w:bCs/>
                <w:kern w:val="0"/>
                <w:sz w:val="24"/>
              </w:rPr>
              <w:t>2023年</w:t>
            </w:r>
          </w:p>
        </w:tc>
        <w:tc>
          <w:tcPr>
            <w:tcW w:w="986"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龙嘉堡镇</w:t>
            </w:r>
          </w:p>
        </w:tc>
        <w:tc>
          <w:tcPr>
            <w:tcW w:w="709"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1</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饮马河村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0.37</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增施有机肥0.37万亩,生产路3.55公里,渠道及排水沟2.87公里,管涵8座,,挡墙护砌0.1公里等工程措施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709"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小城子村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0.63</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增施有机肥0.63万亩,生产路2公里,机耕路3.37公里,渠道及排水沟4.88公里,管涵14座,农道桥1座,等工程措施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波泥河镇</w:t>
            </w:r>
          </w:p>
        </w:tc>
        <w:tc>
          <w:tcPr>
            <w:tcW w:w="709"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0.6</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大营城子村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0.3</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709"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庙岭村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0.3</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兴隆街道</w:t>
            </w:r>
          </w:p>
        </w:tc>
        <w:tc>
          <w:tcPr>
            <w:tcW w:w="709"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0.6</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新春村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0.3</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709"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金川村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0.3</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纪家街道</w:t>
            </w:r>
          </w:p>
        </w:tc>
        <w:tc>
          <w:tcPr>
            <w:tcW w:w="709" w:type="dxa"/>
            <w:vMerge w:val="restart"/>
            <w:tcBorders>
              <w:top w:val="single" w:color="auto" w:sz="4" w:space="0"/>
              <w:left w:val="nil"/>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ascii="仿宋" w:hAnsi="仿宋" w:cs="宋体"/>
                <w:bCs/>
                <w:kern w:val="0"/>
                <w:sz w:val="24"/>
              </w:rPr>
              <w:t>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sz w:val="22"/>
                <w:szCs w:val="22"/>
              </w:rPr>
              <w:t>太平村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sz w:val="22"/>
                <w:szCs w:val="22"/>
              </w:rPr>
              <w:t>1</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sz w:val="22"/>
                <w:szCs w:val="22"/>
              </w:rPr>
              <w:t>增施有机肥1万亩,生产路2公里,机耕路6.33公里,渠道及排水沟7.75公里,管涵22座,农道桥2座,等工程措施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709" w:type="dxa"/>
            <w:vMerge w:val="continue"/>
            <w:tcBorders>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坐山村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1</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增施有机肥1万亩,生产路2公里,机耕路6.33公里,渠道及排水沟7.75公里,管涵22座,农道桥2座,等工程措施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bCs/>
                <w:kern w:val="0"/>
                <w:sz w:val="24"/>
              </w:rPr>
            </w:pPr>
          </w:p>
        </w:tc>
        <w:tc>
          <w:tcPr>
            <w:tcW w:w="986"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苇子沟街道</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0.8</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大院村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0.8</w:t>
            </w:r>
          </w:p>
        </w:tc>
        <w:tc>
          <w:tcPr>
            <w:tcW w:w="4819"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宋体"/>
                <w:bCs/>
                <w:kern w:val="0"/>
                <w:sz w:val="24"/>
              </w:rPr>
            </w:pPr>
            <w:r>
              <w:rPr>
                <w:rFonts w:hint="eastAsia" w:ascii="仿宋" w:hAnsi="仿宋" w:cs="宋体"/>
                <w:bCs/>
                <w:kern w:val="0"/>
                <w:sz w:val="24"/>
              </w:rPr>
              <w:t>增施有机肥0.8万亩,生产路2公里,机耕路4.73公里,渠道及排水沟6.2公里,管涵18座,农道桥1座,等工程措施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2024年</w:t>
            </w: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城子街街道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郭家村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增施有机肥0.16万亩,生产路1.5公里,渠道及排水沟1.5公里,管涵3座等工程措施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柳溪村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增施有机肥0.2万亩,生产路1.5公里,渠道及排水沟1.5公里,管涵6座等工程措施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六台村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0.14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增施有机肥0.14万亩,生产路1.34公里,渠道及排水沟1公里,管涵5座等工程措施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铜匠沟村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增施有机肥0.3万亩,生产路3公里,渠道及排水沟2.3公里,管涵6座,挡墙护砌0.05公里等工程措施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义和村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增施有机肥0.2万亩,生产路1.5公里,渠道及排水沟1.5公里,管涵5座等工程措施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北山村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增施有机肥0.6万亩,生产路2公里,机耕路3公里,渠道及排水沟4.5公里,管涵13座,农道桥1座等工程措施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力明村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增施有机肥0.4万亩,生产路3.8公里,渠道及排水沟3公里,管涵10座,挡墙护砌0.1公里等工程措施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上河湾镇</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增施有机肥1万亩,生产路3公里,机耕路3.3公里,渠道及排水沟7.8公里,管涵22座,农道桥2座等工程措施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苇子沟街道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新开村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增施有机肥0.6万亩,生产路2公里,机耕路3公里,渠道及排水沟4.6公里,管涵13座,农道桥1座，挡墙护砌0.1公里等工程措施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兴隆沟村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增施有机肥0.4万亩,生产路3.8公里,渠道及排水沟3公里,管涵9座,挡墙护砌0.1公里等工程措施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2025年</w:t>
            </w:r>
          </w:p>
        </w:tc>
        <w:tc>
          <w:tcPr>
            <w:tcW w:w="9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北山村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解放村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增施有机肥0.4万亩,生产路3.84公里,渠道及排水沟3.1公里,管涵9座,,挡墙护砌0.11公里等工程措施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三兴村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苇子沟街道</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八台村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增施有机肥0.5万亩,生产路2公里,机耕路2.33公里,渠道及排水沟3.88公里,管涵11座,,挡墙护砌0.14公里等工程措施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四合村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增施有机肥0.5万亩,生产路2公里,机耕路2.33公里,渠道及排水沟3.88公里,管涵11座,,挡墙护砌0.14公里等工程措施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兴隆街道</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沟外村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姜家炉村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增施有机肥0.35万亩,生产路3.36公里,渠道及排水沟2.71公里,管涵8座,,挡墙护砌0.09公里等工程措施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五家子村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增施有机肥0.35万亩,生产路3.36公里,渠道及排水沟2.71公里,管涵8座,,挡墙护砌0.09公里等工程措施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2026年</w:t>
            </w: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成家村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增施有机肥0.34万亩,生产路3.5公里,渠道及排水沟2.6公里,管涵8座,挡墙护砌0.1公里等工程措施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红旗村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增施有机肥0.73万亩,生产路2.5公里,机耕路4公里,渠道及排水沟5.7公里,管涵16座,农道桥1座等工程措施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纪家村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增施有机肥0.36万亩,生产路3.5公里,渠道及排水沟2.7公里,管涵8座,挡墙护砌0.1公里等工程措施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解放村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0.47</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增施有机肥0.47万亩,生产路4.5公里,渠道及排水沟3.6公里,管涵11座,挡墙护砌0.1公里等工程措施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刘家村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1.57</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增施有机肥1.57万亩,生产路5公里,机耕路7公里,渠道及排水沟12公里,管涵36座,农道桥3座,挡墙护砌0.1公里等工程措施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增施有机肥0.55万亩,生产路2公里,机耕路2.5公里,渠道及排水沟4公里,管涵12座,农道桥1座等工程措施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三兴村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增施有机肥0.35万亩,生产路3公里,渠道及排水沟3公里,管涵8座,挡墙护砌0.05公里等工程措施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增施有机肥0.35万亩,生产路3.5公里,渠道及排水沟2.5公里,管涵9座,挡墙护砌0.05公里等工程措施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新鲜村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0.28</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增施有机肥0.28万亩,生产路2.7公里,渠道及排水沟2.2公里,管涵6座等工程措施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2027年</w:t>
            </w: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莽卡满族乡</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3.8</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莽卡村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增施有机肥0.55万亩,生产路2公里,机耕路2.7公里,渠道及排水沟4.3公里,管涵12座,农道桥1座等工程措施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邱家村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增施有机肥0.56万亩,生产路2.5公里,机耕路2公里,渠道及排水沟4.5公里,管涵10座,农道桥1座,挡墙护砌0.05公里等工程措施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舍岭村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0.58</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增施有机肥0.58万亩,生产路2公里,机耕路3公里,渠道及排水沟4.5公里,管涵13座,农道桥1座等工程措施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石屯村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增施有机肥0.53万亩,生产路2公里,机耕路2.5公里,渠道及排水沟4公里,管涵12座,挡墙护砌0.1公里等工程措施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松江村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0.38</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增施有机肥0.38万亩,生产路3.5公里,渠道及排水沟3公里,管涵8座,挡墙护砌0.1公里等工程措施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塔库村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0.49</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增施有机肥0.49万亩,生产路4.7公里,渠道及排水沟3.8公里,管涵11座,挡墙护砌0.1公里等工程措施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张庄村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0.71</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增施有机肥0.71万亩,生产路2公里,机耕路4公里,渠道及排水沟5.5公里,管涵16座,农道桥1座等工程措施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其塔木镇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1.2</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山前槐</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增施有机肥0.6万亩,生产路2公里,机耕路3公里,渠道及排水沟4.6公里,管涵13座,农道桥1座等工程措施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西哈村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增施有机肥0.6万亩,生产路2.5公里,机耕路2.5公里,渠道及排水沟4.6公里,管涵13座,农道桥1座等工程措施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2028年</w:t>
            </w: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纪家街道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大榆村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增施有机肥0.53万亩,生产路2公里,机耕路2.5公里,渠道及排水沟4公里,管涵12座,挡墙护砌0.1公里等工程措施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纪家村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增施有机肥0.7万亩,生产路2公里,机耕路4公里,渠道及排水沟5.5公里,管涵16座,农道桥1座等工程措施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姜家村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增施有机肥0.65万亩,生产路6公里,渠道及排水沟5公里,管涵14座,农道桥1座等工程措施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盛家村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0.06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增施有机肥0.06万亩,生产路0.5公里,渠道及排水沟0.5公里,管涵2座等工程措施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盛水泉村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0.89</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增施有机肥0.89万亩,生产路2.5公里,机耕路5公里,渠道及排水沟7公里,管涵15座,农道桥2座等工程措施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双杖村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0.76</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增施有机肥0.76万亩,生产路2公里,机耕路4.4公里,渠道及排水沟5.5公里,管涵17座,农道桥1座,挡墙护砌0.1公里等工程措施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尹家村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0.8</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增施有机肥0.8万亩,生产路2.5公里,机耕路4公里,渠道及排水沟6.2公里,管涵18座,农道桥1座等工程措施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永增福村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0.61</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增施有机肥0.61万亩,生产路2公里,机耕路3.2公里,渠道及排水沟4.8公里,管涵14座,农道桥1座等工程措施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right w:val="single" w:color="auto" w:sz="4" w:space="0"/>
            </w:tcBorders>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2029年</w:t>
            </w:r>
          </w:p>
        </w:tc>
        <w:tc>
          <w:tcPr>
            <w:tcW w:w="98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苇子沟街道</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4</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拉拉屯村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增施有机肥0.4万亩,生产路3.84公里,渠道及排水沟3.1公里,管涵9座,,挡墙护砌0.11公里等工程措施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庙沟村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增施有机肥0.4万亩,生产路3.84公里,渠道及排水沟3.1公里,管涵9座,,挡墙护砌0.11公里等工程措施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石头咀子村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双桥子村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增施有机肥0.45万亩,生产路4.32公里,渠道及排水沟3.49公里,管涵10座,,挡墙护砌0.12公里等工程措施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头道咀子村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增施有机肥0.4万亩,生产路3.84公里,渠道及排水沟3.1公里,管涵9座,,挡墙护砌0.11公里等工程措施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增施有机肥1万亩,生产路2公里,机耕路6.33公里,渠道及排水沟7.75公里,管涵22座,农道桥2座,等工程措施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西山村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0.85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增施有机肥0.85万亩,生产路2公里,机耕路5.13公里,渠道及排水沟6.59公里,管涵19座,农道桥2座,等工程措施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杨家烧锅村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增施有机肥0.2万亩,生产路1.92公里,渠道及排水沟1.55公里,管涵4座,等工程措施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single" w:color="auto" w:sz="4" w:space="0"/>
              <w:left w:val="single" w:color="auto" w:sz="4" w:space="0"/>
              <w:right w:val="single" w:color="auto" w:sz="4" w:space="0"/>
            </w:tcBorders>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营城子</w:t>
            </w:r>
            <w:r>
              <w:rPr>
                <w:rFonts w:ascii="仿宋" w:hAnsi="仿宋" w:cs="宋体"/>
                <w:kern w:val="0"/>
                <w:sz w:val="24"/>
              </w:rPr>
              <w:t>街道</w:t>
            </w:r>
          </w:p>
        </w:tc>
        <w:tc>
          <w:tcPr>
            <w:tcW w:w="709" w:type="dxa"/>
            <w:vMerge w:val="restart"/>
            <w:tcBorders>
              <w:top w:val="single" w:color="auto" w:sz="4" w:space="0"/>
              <w:left w:val="single" w:color="auto" w:sz="4" w:space="0"/>
              <w:right w:val="single" w:color="auto" w:sz="4" w:space="0"/>
            </w:tcBorders>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荒山村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增施有机肥0.3万亩,生产路2.88公里,渠道及排水沟2.33公里,管涵6座,,挡墙护砌0.09公里等工程措施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single" w:color="auto" w:sz="4" w:space="0"/>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火石岭村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0.7</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增施有机肥0.7万亩,生产路2公里,机耕路3.93公里,渠道及排水沟5.43公里,管涵16座,农道桥1座,等工程措施</w:t>
            </w:r>
          </w:p>
        </w:tc>
      </w:tr>
      <w:tr>
        <w:tblPrEx>
          <w:tblCellMar>
            <w:top w:w="0" w:type="dxa"/>
            <w:left w:w="108" w:type="dxa"/>
            <w:bottom w:w="0" w:type="dxa"/>
            <w:right w:w="108" w:type="dxa"/>
          </w:tblCellMar>
        </w:tblPrEx>
        <w:trPr>
          <w:trHeight w:val="374" w:hRule="atLeast"/>
          <w:jc w:val="center"/>
        </w:trPr>
        <w:tc>
          <w:tcPr>
            <w:tcW w:w="540" w:type="dxa"/>
            <w:vMerge w:val="restart"/>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ascii="仿宋" w:hAnsi="仿宋" w:cs="宋体"/>
                <w:kern w:val="0"/>
                <w:sz w:val="24"/>
              </w:rPr>
            </w:pPr>
          </w:p>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2030年</w:t>
            </w:r>
          </w:p>
        </w:tc>
        <w:tc>
          <w:tcPr>
            <w:tcW w:w="986"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纪家街道</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西挖村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增施有机肥0.45万亩,生产路4.3公里,渠道及排水沟3.5公里,管涵10座,挡墙护砌0.1公里等工程措施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九郊街道</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2.6</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聂家村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增施有机肥0.4万亩,生产路3.8公里,渠道及排水沟3.1公里,管涵9座,挡墙护砌0.1公里等工程措施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吴家店村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增施有机肥0.5万亩,机耕路4公里,渠道及排水沟4公里,管涵11座,挡墙护砌0.1公里等工程措施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小河沿子村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增施有机肥0.4万亩,生产路3.5公里,渠道及排水沟3公里,管涵9座,挡墙护砌0.1公里等工程措施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新合村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0.22</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增施有机肥0.22万亩,生产路2公里,渠道及排水沟2公里,管涵5座等工程措施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新立村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增施有机肥0.3万亩,生产路2.5公里,渠道及排水沟2.5公里,管涵6座,挡墙护砌0.05公里等工程措施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杨木林子村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增施有机肥0.44万亩,生产路4.2公里,渠道及排水沟3.4公里,管涵10座,挡墙护砌0.1公里等工程措施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永富村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0.34</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增施有机肥0.34万亩,生产路3.2公里,渠道及排水沟2.5公里,管涵7座,挡墙护砌0.1公里等工程措施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龙嘉堡镇</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2.4</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大城子村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0.43</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增施有机肥0.43万亩,生产路4公里,渠道及排水沟3.3公里,管涵9座,挡墙护砌0.1公里等工程措施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双丰村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增施有机肥0.65万亩,生产路3公里,机耕路3公里,渠道及排水沟5.5公里,管涵14座,农道桥1座等工程措施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挖铜村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增施有机肥0.65万亩,生产路2公里,机耕路3.5公里,渠道及排水沟5公里,管涵17座,农道桥1座等，挡墙护砌0.05公里工程措施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沿河村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0.62</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增施有机肥0.62万亩,生产路2公里,机耕路3.3公里,渠道及排水沟4.8公里,管涵14座,农道桥1座等工程措施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70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饮马河村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0.05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增施有机肥0.05万亩,渠道及排水沟1公里,管涵3座等工程措施</w:t>
            </w:r>
          </w:p>
        </w:tc>
      </w:tr>
      <w:tr>
        <w:tblPrEx>
          <w:tblCellMar>
            <w:top w:w="0" w:type="dxa"/>
            <w:left w:w="108" w:type="dxa"/>
            <w:bottom w:w="0" w:type="dxa"/>
            <w:right w:w="108" w:type="dxa"/>
          </w:tblCellMar>
        </w:tblPrEx>
        <w:trPr>
          <w:trHeight w:val="374" w:hRule="atLeast"/>
          <w:jc w:val="center"/>
        </w:trPr>
        <w:tc>
          <w:tcPr>
            <w:tcW w:w="540"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ascii="仿宋" w:hAnsi="仿宋" w:cs="宋体"/>
                <w:kern w:val="0"/>
                <w:sz w:val="24"/>
              </w:rPr>
            </w:pPr>
          </w:p>
        </w:tc>
        <w:tc>
          <w:tcPr>
            <w:tcW w:w="986"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兴隆街道</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0.55</w:t>
            </w:r>
          </w:p>
        </w:tc>
        <w:tc>
          <w:tcPr>
            <w:tcW w:w="992"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春光村</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宋体"/>
                <w:kern w:val="0"/>
                <w:sz w:val="24"/>
              </w:rPr>
            </w:pPr>
            <w:r>
              <w:rPr>
                <w:rFonts w:hint="eastAsia" w:ascii="仿宋" w:hAnsi="仿宋" w:cs="宋体"/>
                <w:kern w:val="0"/>
                <w:sz w:val="24"/>
              </w:rPr>
              <w:t>0.55</w:t>
            </w:r>
          </w:p>
        </w:tc>
        <w:tc>
          <w:tcPr>
            <w:tcW w:w="481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rPr>
                <w:rFonts w:ascii="仿宋" w:hAnsi="仿宋" w:cs="宋体"/>
                <w:kern w:val="0"/>
                <w:sz w:val="24"/>
              </w:rPr>
            </w:pPr>
            <w:r>
              <w:rPr>
                <w:rFonts w:hint="eastAsia" w:ascii="仿宋" w:hAnsi="仿宋" w:cs="宋体"/>
                <w:kern w:val="0"/>
                <w:sz w:val="24"/>
              </w:rPr>
              <w:t>增施有机肥0.55万亩,生产路2公里,机耕路2公里,渠道及排水沟4.5公里,管涵12座,农道桥1座，挡墙护砌0.1公里等工程措施</w:t>
            </w:r>
          </w:p>
        </w:tc>
      </w:tr>
    </w:tbl>
    <w:p>
      <w:pPr>
        <w:pStyle w:val="2"/>
        <w:ind w:left="560" w:firstLine="560"/>
      </w:pPr>
    </w:p>
    <w:p>
      <w:pPr>
        <w:pStyle w:val="2"/>
        <w:ind w:left="0" w:leftChars="0" w:firstLine="0" w:firstLineChars="0"/>
        <w:sectPr>
          <w:headerReference r:id="rId14" w:type="default"/>
          <w:footerReference r:id="rId15" w:type="default"/>
          <w:pgSz w:w="11907" w:h="16840"/>
          <w:pgMar w:top="1701" w:right="1418" w:bottom="1418" w:left="1474" w:header="851" w:footer="992" w:gutter="0"/>
          <w:pgNumType w:fmt="numberInDash" w:start="1"/>
          <w:cols w:space="425" w:num="1"/>
          <w:docGrid w:type="lines" w:linePitch="312" w:charSpace="0"/>
        </w:sectPr>
      </w:pPr>
    </w:p>
    <w:p>
      <w:pPr>
        <w:pStyle w:val="49"/>
        <w:rPr>
          <w:rFonts w:eastAsia="仿宋"/>
          <w:sz w:val="28"/>
          <w:szCs w:val="28"/>
        </w:rPr>
      </w:pPr>
      <w:r>
        <w:rPr>
          <w:rFonts w:hint="eastAsia" w:eastAsia="仿宋"/>
          <w:sz w:val="28"/>
          <w:szCs w:val="28"/>
        </w:rPr>
        <w:t>附表</w:t>
      </w:r>
      <w:r>
        <w:rPr>
          <w:rFonts w:eastAsia="仿宋"/>
          <w:sz w:val="28"/>
          <w:szCs w:val="28"/>
        </w:rPr>
        <w:t>4</w:t>
      </w:r>
      <w:r>
        <w:rPr>
          <w:rFonts w:hint="eastAsia" w:eastAsia="仿宋"/>
          <w:sz w:val="28"/>
          <w:szCs w:val="28"/>
        </w:rPr>
        <w:t xml:space="preserve">                              </w:t>
      </w:r>
      <w:r>
        <w:rPr>
          <w:rFonts w:eastAsia="仿宋"/>
          <w:sz w:val="28"/>
          <w:szCs w:val="28"/>
        </w:rPr>
        <w:t xml:space="preserve">                                                                      </w:t>
      </w:r>
      <w:r>
        <w:rPr>
          <w:rFonts w:hint="eastAsia" w:eastAsia="仿宋"/>
          <w:sz w:val="28"/>
          <w:szCs w:val="28"/>
        </w:rPr>
        <w:t xml:space="preserve">  长春市九台区高标准农田建设总体成果表</w:t>
      </w:r>
    </w:p>
    <w:tbl>
      <w:tblPr>
        <w:tblStyle w:val="29"/>
        <w:tblW w:w="5000" w:type="pct"/>
        <w:jc w:val="center"/>
        <w:tblLayout w:type="autofit"/>
        <w:tblCellMar>
          <w:top w:w="0" w:type="dxa"/>
          <w:left w:w="108" w:type="dxa"/>
          <w:bottom w:w="0" w:type="dxa"/>
          <w:right w:w="108" w:type="dxa"/>
        </w:tblCellMar>
      </w:tblPr>
      <w:tblGrid>
        <w:gridCol w:w="923"/>
        <w:gridCol w:w="1917"/>
        <w:gridCol w:w="1591"/>
        <w:gridCol w:w="1591"/>
        <w:gridCol w:w="2589"/>
        <w:gridCol w:w="1591"/>
        <w:gridCol w:w="2589"/>
        <w:gridCol w:w="1590"/>
        <w:gridCol w:w="2588"/>
        <w:gridCol w:w="1590"/>
        <w:gridCol w:w="2588"/>
      </w:tblGrid>
      <w:tr>
        <w:tblPrEx>
          <w:tblCellMar>
            <w:top w:w="0" w:type="dxa"/>
            <w:left w:w="108" w:type="dxa"/>
            <w:bottom w:w="0" w:type="dxa"/>
            <w:right w:w="108" w:type="dxa"/>
          </w:tblCellMar>
        </w:tblPrEx>
        <w:trPr>
          <w:trHeight w:val="499" w:hRule="atLeast"/>
          <w:jc w:val="center"/>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序号</w:t>
            </w:r>
          </w:p>
        </w:tc>
        <w:tc>
          <w:tcPr>
            <w:tcW w:w="45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乡镇街</w:t>
            </w:r>
          </w:p>
        </w:tc>
        <w:tc>
          <w:tcPr>
            <w:tcW w:w="37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耕地面积</w:t>
            </w:r>
          </w:p>
        </w:tc>
        <w:tc>
          <w:tcPr>
            <w:tcW w:w="98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2011-2018</w:t>
            </w:r>
            <w:r>
              <w:rPr>
                <w:rFonts w:hint="eastAsia" w:cs="Times New Roman"/>
                <w:b/>
                <w:bCs/>
                <w:kern w:val="0"/>
                <w:szCs w:val="28"/>
              </w:rPr>
              <w:t>年</w:t>
            </w:r>
          </w:p>
        </w:tc>
        <w:tc>
          <w:tcPr>
            <w:tcW w:w="98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2019-2020</w:t>
            </w:r>
            <w:r>
              <w:rPr>
                <w:rFonts w:hint="eastAsia" w:cs="Times New Roman"/>
                <w:b/>
                <w:bCs/>
                <w:kern w:val="0"/>
                <w:szCs w:val="28"/>
              </w:rPr>
              <w:t>年</w:t>
            </w:r>
          </w:p>
        </w:tc>
        <w:tc>
          <w:tcPr>
            <w:tcW w:w="98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2021-2030</w:t>
            </w:r>
            <w:r>
              <w:rPr>
                <w:rFonts w:hint="eastAsia" w:cs="Times New Roman"/>
                <w:b/>
                <w:bCs/>
                <w:kern w:val="0"/>
                <w:szCs w:val="28"/>
              </w:rPr>
              <w:t>年</w:t>
            </w:r>
          </w:p>
        </w:tc>
        <w:tc>
          <w:tcPr>
            <w:tcW w:w="98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合计</w:t>
            </w:r>
          </w:p>
        </w:tc>
      </w:tr>
      <w:tr>
        <w:tblPrEx>
          <w:tblCellMar>
            <w:top w:w="0" w:type="dxa"/>
            <w:left w:w="108" w:type="dxa"/>
            <w:bottom w:w="0" w:type="dxa"/>
            <w:right w:w="108" w:type="dxa"/>
          </w:tblCellMar>
        </w:tblPrEx>
        <w:trPr>
          <w:trHeight w:val="499" w:hRule="atLeast"/>
          <w:jc w:val="center"/>
        </w:trPr>
        <w:tc>
          <w:tcPr>
            <w:tcW w:w="21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b/>
                <w:bCs/>
                <w:kern w:val="0"/>
                <w:szCs w:val="28"/>
              </w:rPr>
            </w:pPr>
          </w:p>
        </w:tc>
        <w:tc>
          <w:tcPr>
            <w:tcW w:w="45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b/>
                <w:bCs/>
                <w:kern w:val="0"/>
                <w:szCs w:val="28"/>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b/>
                <w:bCs/>
                <w:kern w:val="0"/>
                <w:szCs w:val="28"/>
              </w:rPr>
            </w:pP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已建面积</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占耕地面积比例</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新建面积</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占耕地面积比例</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拟建面积</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占耕地面积比例</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合计面积</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占耕地面积比例</w:t>
            </w:r>
          </w:p>
        </w:tc>
      </w:tr>
      <w:tr>
        <w:tblPrEx>
          <w:tblCellMar>
            <w:top w:w="0" w:type="dxa"/>
            <w:left w:w="108" w:type="dxa"/>
            <w:bottom w:w="0" w:type="dxa"/>
            <w:right w:w="108" w:type="dxa"/>
          </w:tblCellMar>
        </w:tblPrEx>
        <w:trPr>
          <w:trHeight w:val="499" w:hRule="atLeast"/>
          <w:jc w:val="center"/>
        </w:trPr>
        <w:tc>
          <w:tcPr>
            <w:tcW w:w="21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b/>
                <w:bCs/>
                <w:kern w:val="0"/>
                <w:szCs w:val="28"/>
              </w:rPr>
            </w:pPr>
          </w:p>
        </w:tc>
        <w:tc>
          <w:tcPr>
            <w:tcW w:w="45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rPr>
                <w:rFonts w:cs="宋体"/>
                <w:b/>
                <w:bCs/>
                <w:kern w:val="0"/>
                <w:szCs w:val="28"/>
              </w:rPr>
            </w:pP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万亩</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万亩</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万亩</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万亩</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w:t>
            </w:r>
          </w:p>
        </w:tc>
        <w:tc>
          <w:tcPr>
            <w:tcW w:w="37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b/>
                <w:bCs/>
                <w:kern w:val="0"/>
                <w:szCs w:val="28"/>
              </w:rPr>
            </w:pPr>
            <w:r>
              <w:rPr>
                <w:rFonts w:hint="eastAsia" w:cs="宋体"/>
                <w:b/>
                <w:bCs/>
                <w:kern w:val="0"/>
                <w:szCs w:val="28"/>
              </w:rPr>
              <w:t>万亩</w:t>
            </w:r>
          </w:p>
        </w:tc>
        <w:tc>
          <w:tcPr>
            <w:tcW w:w="61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Times New Roman"/>
                <w:b/>
                <w:bCs/>
                <w:kern w:val="0"/>
                <w:szCs w:val="28"/>
              </w:rPr>
            </w:pPr>
            <w:r>
              <w:rPr>
                <w:rFonts w:cs="Times New Roman"/>
                <w:b/>
                <w:bCs/>
                <w:kern w:val="0"/>
                <w:szCs w:val="28"/>
              </w:rPr>
              <w:t>%</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波泥河街道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24.89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2.06</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8.28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24.11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7.06</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32.38</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2</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城子街街道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30.88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6.19</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20.05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1.62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13.5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43.72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20.19</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65.38</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3</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东湖街道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11.15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4.13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37.04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4.13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37.04</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4</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胡家回族乡</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16.45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0.43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2.61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9</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54.71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1.65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10.03</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11.08</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67.36</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5</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纪家街道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24.06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14.4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59.85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0.38</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8.31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16.78</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69.74</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6</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九郊街道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12.9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4.95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38.37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6.95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53.88</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7</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九台街道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1.45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0.01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0.69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0.01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0.69</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8</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营城街道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2.15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0.84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39.07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0.84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39.07</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9</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卡伦街道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17.37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11.69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0.43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2.46</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14.16</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10</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龙嘉堡镇</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26.12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12.27</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46.98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1.24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4.75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13.51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51.72</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11</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莽卡满族乡</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16.27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6.49</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39.89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4.55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27.97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1.01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6.21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12.05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74.06</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12</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沐石河街道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39.57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2.35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5.94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5.12</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12.94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8.3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20.98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15.77</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39.85</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13</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其塔木镇</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24.87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13.26</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53.32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0.95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3.82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4.74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19.06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18.95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76.2</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14</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上河湾镇</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25.2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7.71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30.6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51.59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20.71</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82.18</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15</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土们岭街道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14.31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3.38</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23.62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20.96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6.38</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44.58</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16</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苇子沟街道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33.15</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15.24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45.97</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15.08</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20.24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61.06</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17</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兴隆街道</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25.09</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14.03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55.92</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15.94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18.03</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71.86</w:t>
            </w:r>
          </w:p>
        </w:tc>
      </w:tr>
      <w:tr>
        <w:tblPrEx>
          <w:tblCellMar>
            <w:top w:w="0" w:type="dxa"/>
            <w:left w:w="108" w:type="dxa"/>
            <w:bottom w:w="0" w:type="dxa"/>
            <w:right w:w="108" w:type="dxa"/>
          </w:tblCellMar>
        </w:tblPrEx>
        <w:trPr>
          <w:trHeight w:val="499" w:hRule="atLeast"/>
          <w:jc w:val="center"/>
        </w:trPr>
        <w:tc>
          <w:tcPr>
            <w:tcW w:w="218"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18</w:t>
            </w:r>
          </w:p>
        </w:tc>
        <w:tc>
          <w:tcPr>
            <w:tcW w:w="4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西营城街道</w:t>
            </w:r>
          </w:p>
        </w:tc>
        <w:tc>
          <w:tcPr>
            <w:tcW w:w="376" w:type="pct"/>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11.06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0</w:t>
            </w:r>
          </w:p>
        </w:tc>
      </w:tr>
      <w:tr>
        <w:tblPrEx>
          <w:tblCellMar>
            <w:top w:w="0" w:type="dxa"/>
            <w:left w:w="108" w:type="dxa"/>
            <w:bottom w:w="0" w:type="dxa"/>
            <w:right w:w="108" w:type="dxa"/>
          </w:tblCellMar>
        </w:tblPrEx>
        <w:trPr>
          <w:trHeight w:val="499" w:hRule="atLeast"/>
          <w:jc w:val="center"/>
        </w:trPr>
        <w:tc>
          <w:tcPr>
            <w:tcW w:w="671"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hint="eastAsia" w:cs="宋体"/>
                <w:kern w:val="0"/>
                <w:szCs w:val="28"/>
              </w:rPr>
              <w:t>合计</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356.94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105.64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29.6</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20.5</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5.74</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70</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19.61</w:t>
            </w:r>
          </w:p>
        </w:tc>
        <w:tc>
          <w:tcPr>
            <w:tcW w:w="376"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195.14</w:t>
            </w:r>
          </w:p>
        </w:tc>
        <w:tc>
          <w:tcPr>
            <w:tcW w:w="612" w:type="pct"/>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cs="宋体"/>
                <w:kern w:val="0"/>
                <w:szCs w:val="28"/>
              </w:rPr>
            </w:pPr>
            <w:r>
              <w:rPr>
                <w:rFonts w:cs="宋体"/>
                <w:kern w:val="0"/>
                <w:szCs w:val="28"/>
              </w:rPr>
              <w:t>54.95</w:t>
            </w:r>
          </w:p>
        </w:tc>
      </w:tr>
    </w:tbl>
    <w:p>
      <w:pPr>
        <w:widowControl/>
        <w:adjustRightInd/>
        <w:snapToGrid/>
        <w:spacing w:line="240" w:lineRule="auto"/>
        <w:ind w:firstLine="0" w:firstLineChars="0"/>
        <w:rPr>
          <w:szCs w:val="28"/>
        </w:rPr>
        <w:sectPr>
          <w:pgSz w:w="23811" w:h="16838" w:orient="landscape"/>
          <w:pgMar w:top="1800" w:right="1440" w:bottom="1800" w:left="1440" w:header="851" w:footer="992" w:gutter="0"/>
          <w:pgNumType w:fmt="numberInDash"/>
          <w:cols w:space="425" w:num="1"/>
          <w:docGrid w:type="lines" w:linePitch="381" w:charSpace="0"/>
        </w:sectPr>
      </w:pPr>
      <w:bookmarkStart w:id="125" w:name="_GoBack"/>
      <w:bookmarkEnd w:id="125"/>
    </w:p>
    <w:p>
      <w:pPr>
        <w:pStyle w:val="3"/>
        <w:numPr>
          <w:ilvl w:val="0"/>
          <w:numId w:val="0"/>
        </w:numPr>
        <w:jc w:val="left"/>
      </w:pPr>
    </w:p>
    <w:sectPr>
      <w:headerReference r:id="rId16" w:type="default"/>
      <w:footerReference r:id="rId17" w:type="default"/>
      <w:pgSz w:w="16838" w:h="23811"/>
      <w:pgMar w:top="1701" w:right="1418" w:bottom="1418" w:left="1474" w:header="851" w:footer="992" w:gutter="0"/>
      <w:pgNumType w:fmt="numberInDash"/>
      <w:cols w:space="425" w:num="1"/>
      <w:docGrid w:type="linesAndChar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jc w:val="center"/>
    </w:pPr>
    <w:r>
      <w:fldChar w:fldCharType="begin"/>
    </w:r>
    <w:r>
      <w:instrText xml:space="preserve">PAGE   \* MERGEFORMAT</w:instrText>
    </w:r>
    <w:r>
      <w:fldChar w:fldCharType="separate"/>
    </w:r>
    <w: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jc w:val="center"/>
    </w:pPr>
    <w:r>
      <w:fldChar w:fldCharType="begin"/>
    </w:r>
    <w:r>
      <w:instrText xml:space="preserve">PAGE   \* MERGEFORMAT</w:instrText>
    </w:r>
    <w:r>
      <w:fldChar w:fldCharType="separate"/>
    </w:r>
    <w:r>
      <w:t>- 2 -</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1329960"/>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w:t>
        </w:r>
        <w:r>
          <w:t xml:space="preserve"> 90 -</w:t>
        </w:r>
        <w:r>
          <w:fldChar w:fldCharType="end"/>
        </w:r>
      </w:p>
    </w:sdtContent>
  </w:sdt>
  <w:p>
    <w:pPr>
      <w:spacing w:line="1" w:lineRule="exact"/>
      <w:ind w:firstLine="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jc w:val="center"/>
    </w:pPr>
    <w:r>
      <w:fldChar w:fldCharType="begin"/>
    </w:r>
    <w:r>
      <w:instrText xml:space="preserve">PAGE   \* MERGEFORMAT</w:instrText>
    </w:r>
    <w:r>
      <w:fldChar w:fldCharType="separate"/>
    </w:r>
    <w:r>
      <w:rPr>
        <w:lang w:val="zh-CN"/>
      </w:rPr>
      <w:t>-</w:t>
    </w:r>
    <w:r>
      <w:t xml:space="preserve"> 95 -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line="360" w:lineRule="auto"/>
        <w:ind w:firstLine="560"/>
      </w:pPr>
      <w:r>
        <w:separator/>
      </w:r>
    </w:p>
  </w:footnote>
  <w:footnote w:type="continuationSeparator" w:id="7">
    <w:p>
      <w:pPr>
        <w:spacing w:line="360" w:lineRule="auto"/>
        <w:ind w:firstLine="560"/>
      </w:pPr>
      <w:r>
        <w:continuationSeparator/>
      </w:r>
    </w:p>
  </w:footnote>
  <w:footnote w:id="0">
    <w:p>
      <w:pPr>
        <w:ind w:firstLine="360"/>
        <w:rPr>
          <w:sz w:val="20"/>
          <w:szCs w:val="18"/>
        </w:rPr>
      </w:pPr>
      <w:r>
        <w:rPr>
          <w:rStyle w:val="43"/>
        </w:rPr>
        <w:footnoteRef/>
      </w:r>
      <w:r>
        <w:rPr>
          <w:rFonts w:hint="eastAsia"/>
          <w:sz w:val="20"/>
          <w:szCs w:val="18"/>
        </w:rPr>
        <w:t>九台区第三次国土调查2020年变更数据库（规划区划出长春空港开发区和高新北区）</w:t>
      </w:r>
    </w:p>
  </w:footnote>
  <w:footnote w:id="1">
    <w:p>
      <w:pPr>
        <w:pStyle w:val="25"/>
        <w:ind w:firstLine="360"/>
      </w:pPr>
      <w:r>
        <w:rPr>
          <w:rStyle w:val="43"/>
        </w:rPr>
        <w:footnoteRef/>
      </w:r>
      <w:r>
        <w:t xml:space="preserve"> </w:t>
      </w:r>
      <w:r>
        <w:rPr>
          <w:rFonts w:hint="eastAsia"/>
          <w:sz w:val="20"/>
        </w:rPr>
        <w:t>走进九台.长春市九台区人民政府</w:t>
      </w:r>
    </w:p>
  </w:footnote>
  <w:footnote w:id="2">
    <w:p>
      <w:pPr>
        <w:pStyle w:val="25"/>
        <w:ind w:firstLine="360"/>
      </w:pPr>
      <w:r>
        <w:rPr>
          <w:rStyle w:val="43"/>
        </w:rPr>
        <w:footnoteRef/>
      </w:r>
      <w:r>
        <w:t xml:space="preserve"> </w:t>
      </w:r>
      <w:r>
        <w:rPr>
          <w:rFonts w:hint="eastAsia"/>
        </w:rPr>
        <w:t>2020年长春市九台区国民经济和社会发展统计公报</w:t>
      </w:r>
      <w:r>
        <w:rPr>
          <w:rFonts w:hint="eastAsia"/>
          <w:sz w:val="20"/>
        </w:rPr>
        <w:t>。长春市统计局九台区分局，</w:t>
      </w:r>
      <w:r>
        <w:rPr>
          <w:sz w:val="20"/>
        </w:rPr>
        <w:t>2021-09-08</w:t>
      </w:r>
      <w:r>
        <w:rPr>
          <w:rFonts w:hint="eastAsia"/>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440"/>
      <w:jc w:val="right"/>
      <w:rPr>
        <w:sz w:val="22"/>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line="240" w:lineRule="auto"/>
      <w:ind w:firstLine="440"/>
      <w:jc w:val="right"/>
      <w:rPr>
        <w:sz w:val="22"/>
        <w:szCs w:val="21"/>
      </w:rPr>
    </w:pPr>
    <w:r>
      <w:rPr>
        <w:rFonts w:hint="eastAsia"/>
        <w:sz w:val="22"/>
        <w:szCs w:val="21"/>
      </w:rPr>
      <w:t>长春市九台区高标准农田建设规划（2021-20</w:t>
    </w:r>
    <w:r>
      <w:rPr>
        <w:sz w:val="22"/>
        <w:szCs w:val="21"/>
      </w:rPr>
      <w:t>30</w:t>
    </w:r>
    <w:r>
      <w:rPr>
        <w:rFonts w:hint="eastAsia"/>
        <w:sz w:val="22"/>
        <w:szCs w:val="21"/>
      </w:rPr>
      <w:t>年）</w:t>
    </w:r>
  </w:p>
  <w:p>
    <w:pPr>
      <w:spacing w:line="240" w:lineRule="auto"/>
      <w:ind w:firstLine="440"/>
      <w:jc w:val="right"/>
      <w:rPr>
        <w:sz w:val="22"/>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line="240" w:lineRule="auto"/>
      <w:ind w:firstLine="440"/>
      <w:jc w:val="right"/>
      <w:rPr>
        <w:sz w:val="22"/>
        <w:szCs w:val="21"/>
      </w:rPr>
    </w:pPr>
    <w:r>
      <w:rPr>
        <w:rFonts w:hint="eastAsia"/>
        <w:sz w:val="22"/>
        <w:szCs w:val="21"/>
      </w:rPr>
      <w:t>长春市九台区高标准农田建设规划（2021-20</w:t>
    </w:r>
    <w:r>
      <w:rPr>
        <w:sz w:val="22"/>
        <w:szCs w:val="21"/>
      </w:rPr>
      <w:t>30</w:t>
    </w:r>
    <w:r>
      <w:rPr>
        <w:rFonts w:hint="eastAsia"/>
        <w:sz w:val="22"/>
        <w:szCs w:val="21"/>
      </w:rPr>
      <w:t>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line="240" w:lineRule="auto"/>
      <w:jc w:val="right"/>
      <w:rPr>
        <w:sz w:val="21"/>
        <w:szCs w:val="21"/>
      </w:rPr>
    </w:pPr>
    <w:r>
      <w:rPr>
        <w:rFonts w:hint="eastAsia"/>
        <w:sz w:val="21"/>
        <w:szCs w:val="21"/>
      </w:rPr>
      <w:t>长春市九台区高标准农田建设规划（202</w:t>
    </w:r>
    <w:r>
      <w:rPr>
        <w:sz w:val="21"/>
        <w:szCs w:val="21"/>
      </w:rPr>
      <w:t>1</w:t>
    </w:r>
    <w:r>
      <w:rPr>
        <w:rFonts w:hint="eastAsia"/>
        <w:sz w:val="21"/>
        <w:szCs w:val="21"/>
      </w:rPr>
      <w:t>-20</w:t>
    </w:r>
    <w:r>
      <w:rPr>
        <w:sz w:val="21"/>
        <w:szCs w:val="21"/>
      </w:rPr>
      <w:t>30</w:t>
    </w:r>
    <w:r>
      <w:rPr>
        <w:rFonts w:hint="eastAsia"/>
        <w:sz w:val="21"/>
        <w:szCs w:val="21"/>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E2D8E"/>
    <w:multiLevelType w:val="singleLevel"/>
    <w:tmpl w:val="046E2D8E"/>
    <w:lvl w:ilvl="0" w:tentative="0">
      <w:start w:val="1"/>
      <w:numFmt w:val="decimal"/>
      <w:lvlText w:val="(%1)"/>
      <w:lvlJc w:val="left"/>
      <w:pPr>
        <w:ind w:left="425" w:hanging="425"/>
      </w:pPr>
      <w:rPr>
        <w:rFonts w:hint="default"/>
      </w:rPr>
    </w:lvl>
  </w:abstractNum>
  <w:abstractNum w:abstractNumId="1">
    <w:nsid w:val="0D8B36A3"/>
    <w:multiLevelType w:val="singleLevel"/>
    <w:tmpl w:val="0D8B36A3"/>
    <w:lvl w:ilvl="0" w:tentative="0">
      <w:start w:val="1"/>
      <w:numFmt w:val="decimal"/>
      <w:lvlText w:val="%1."/>
      <w:lvlJc w:val="left"/>
      <w:pPr>
        <w:ind w:left="420" w:hanging="420"/>
      </w:pPr>
      <w:rPr>
        <w:rFonts w:hint="default"/>
      </w:rPr>
    </w:lvl>
  </w:abstractNum>
  <w:abstractNum w:abstractNumId="2">
    <w:nsid w:val="124D40E2"/>
    <w:multiLevelType w:val="singleLevel"/>
    <w:tmpl w:val="124D40E2"/>
    <w:lvl w:ilvl="0" w:tentative="0">
      <w:start w:val="1"/>
      <w:numFmt w:val="decimal"/>
      <w:lvlText w:val="(%1)"/>
      <w:lvlJc w:val="left"/>
      <w:pPr>
        <w:ind w:left="425" w:hanging="425"/>
      </w:pPr>
      <w:rPr>
        <w:rFonts w:hint="default"/>
      </w:rPr>
    </w:lvl>
  </w:abstractNum>
  <w:abstractNum w:abstractNumId="3">
    <w:nsid w:val="26C98F81"/>
    <w:multiLevelType w:val="multilevel"/>
    <w:tmpl w:val="26C98F81"/>
    <w:lvl w:ilvl="0" w:tentative="0">
      <w:start w:val="1"/>
      <w:numFmt w:val="chineseCounting"/>
      <w:pStyle w:val="3"/>
      <w:suff w:val="nothing"/>
      <w:lvlText w:val="%1、"/>
      <w:lvlJc w:val="left"/>
      <w:pPr>
        <w:ind w:left="5386" w:firstLine="0"/>
      </w:pPr>
      <w:rPr>
        <w:rFonts w:hint="eastAsia"/>
        <w:lang w:val="en-US"/>
      </w:rPr>
    </w:lvl>
    <w:lvl w:ilvl="1" w:tentative="0">
      <w:start w:val="1"/>
      <w:numFmt w:val="chineseCounting"/>
      <w:pStyle w:val="4"/>
      <w:suff w:val="nothing"/>
      <w:lvlText w:val="（%2）"/>
      <w:lvlJc w:val="left"/>
      <w:pPr>
        <w:ind w:left="425" w:firstLine="0"/>
      </w:pPr>
      <w:rPr>
        <w:rFonts w:hint="eastAsia" w:ascii="仿宋" w:hAnsi="仿宋" w:eastAsia="仿宋"/>
      </w:rPr>
    </w:lvl>
    <w:lvl w:ilvl="2" w:tentative="0">
      <w:start w:val="1"/>
      <w:numFmt w:val="decimal"/>
      <w:pStyle w:val="5"/>
      <w:suff w:val="nothing"/>
      <w:lvlText w:val="%3．"/>
      <w:lvlJc w:val="left"/>
      <w:pPr>
        <w:ind w:left="-400" w:firstLine="400"/>
      </w:pPr>
      <w:rPr>
        <w:rFonts w:hint="eastAsia"/>
      </w:rPr>
    </w:lvl>
    <w:lvl w:ilvl="3" w:tentative="0">
      <w:start w:val="1"/>
      <w:numFmt w:val="decimal"/>
      <w:pStyle w:val="6"/>
      <w:suff w:val="nothing"/>
      <w:lvlText w:val="（%4）"/>
      <w:lvlJc w:val="left"/>
      <w:pPr>
        <w:ind w:left="165"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4">
    <w:nsid w:val="400E1366"/>
    <w:multiLevelType w:val="singleLevel"/>
    <w:tmpl w:val="400E1366"/>
    <w:lvl w:ilvl="0" w:tentative="0">
      <w:start w:val="1"/>
      <w:numFmt w:val="decimal"/>
      <w:lvlText w:val="(%1)"/>
      <w:lvlJc w:val="left"/>
      <w:pPr>
        <w:ind w:left="425" w:hanging="425"/>
      </w:pPr>
      <w:rPr>
        <w:rFont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40"/>
  <w:drawingGridVerticalSpacing w:val="381"/>
  <w:displayHorizontalDrawingGridEvery w:val="2"/>
  <w:characterSpacingControl w:val="doNotCompress"/>
  <w:footnotePr>
    <w:footnote w:id="6"/>
    <w:footnote w:id="7"/>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mNDNlYTA0NDU0MWRhNGJhYmYxYWJmODE1NjRkNDMifQ=="/>
  </w:docVars>
  <w:rsids>
    <w:rsidRoot w:val="2E3660EC"/>
    <w:rsid w:val="000021F7"/>
    <w:rsid w:val="00002424"/>
    <w:rsid w:val="00003328"/>
    <w:rsid w:val="000058D1"/>
    <w:rsid w:val="00010D5C"/>
    <w:rsid w:val="00013274"/>
    <w:rsid w:val="000145A3"/>
    <w:rsid w:val="00014B1B"/>
    <w:rsid w:val="00014C04"/>
    <w:rsid w:val="00014FCE"/>
    <w:rsid w:val="00015CC6"/>
    <w:rsid w:val="00016538"/>
    <w:rsid w:val="00020F01"/>
    <w:rsid w:val="000225BD"/>
    <w:rsid w:val="00023BB7"/>
    <w:rsid w:val="0002450A"/>
    <w:rsid w:val="000249E3"/>
    <w:rsid w:val="00024D1A"/>
    <w:rsid w:val="00027342"/>
    <w:rsid w:val="00030BF8"/>
    <w:rsid w:val="00031DB4"/>
    <w:rsid w:val="00034D73"/>
    <w:rsid w:val="00037DC3"/>
    <w:rsid w:val="000401D1"/>
    <w:rsid w:val="000407B5"/>
    <w:rsid w:val="000410A2"/>
    <w:rsid w:val="00041250"/>
    <w:rsid w:val="00043326"/>
    <w:rsid w:val="00044590"/>
    <w:rsid w:val="00044BE7"/>
    <w:rsid w:val="00044EF1"/>
    <w:rsid w:val="000463AE"/>
    <w:rsid w:val="00046E68"/>
    <w:rsid w:val="00047287"/>
    <w:rsid w:val="00047D9F"/>
    <w:rsid w:val="00056E30"/>
    <w:rsid w:val="000634F3"/>
    <w:rsid w:val="000636F7"/>
    <w:rsid w:val="00063DD5"/>
    <w:rsid w:val="00064488"/>
    <w:rsid w:val="0006483B"/>
    <w:rsid w:val="00066458"/>
    <w:rsid w:val="00066FF1"/>
    <w:rsid w:val="000712EB"/>
    <w:rsid w:val="000717C6"/>
    <w:rsid w:val="00071D60"/>
    <w:rsid w:val="00074337"/>
    <w:rsid w:val="000749E8"/>
    <w:rsid w:val="0007528C"/>
    <w:rsid w:val="0007742E"/>
    <w:rsid w:val="00084F29"/>
    <w:rsid w:val="00087B90"/>
    <w:rsid w:val="0009104B"/>
    <w:rsid w:val="0009371E"/>
    <w:rsid w:val="0009487B"/>
    <w:rsid w:val="00095260"/>
    <w:rsid w:val="000966CC"/>
    <w:rsid w:val="000968E4"/>
    <w:rsid w:val="000A0178"/>
    <w:rsid w:val="000A152B"/>
    <w:rsid w:val="000A1EF1"/>
    <w:rsid w:val="000A25A3"/>
    <w:rsid w:val="000A2676"/>
    <w:rsid w:val="000A2A96"/>
    <w:rsid w:val="000A47C1"/>
    <w:rsid w:val="000A56FA"/>
    <w:rsid w:val="000A5B5D"/>
    <w:rsid w:val="000A7402"/>
    <w:rsid w:val="000A7805"/>
    <w:rsid w:val="000A7D43"/>
    <w:rsid w:val="000B0EC7"/>
    <w:rsid w:val="000B22E1"/>
    <w:rsid w:val="000B465E"/>
    <w:rsid w:val="000C1778"/>
    <w:rsid w:val="000C50EE"/>
    <w:rsid w:val="000C77AE"/>
    <w:rsid w:val="000C7E0C"/>
    <w:rsid w:val="000D0F4E"/>
    <w:rsid w:val="000D123A"/>
    <w:rsid w:val="000D1D58"/>
    <w:rsid w:val="000D1E58"/>
    <w:rsid w:val="000D3BCC"/>
    <w:rsid w:val="000D43C9"/>
    <w:rsid w:val="000D4D6D"/>
    <w:rsid w:val="000D5510"/>
    <w:rsid w:val="000D5F43"/>
    <w:rsid w:val="000D6FC7"/>
    <w:rsid w:val="000D7F1C"/>
    <w:rsid w:val="000E13C4"/>
    <w:rsid w:val="000E1D70"/>
    <w:rsid w:val="000E2670"/>
    <w:rsid w:val="000E2C1B"/>
    <w:rsid w:val="000E393E"/>
    <w:rsid w:val="000E3CD6"/>
    <w:rsid w:val="000E53DC"/>
    <w:rsid w:val="000E764E"/>
    <w:rsid w:val="000F1EA4"/>
    <w:rsid w:val="000F4B72"/>
    <w:rsid w:val="000F5815"/>
    <w:rsid w:val="000F6BD7"/>
    <w:rsid w:val="000F73B8"/>
    <w:rsid w:val="001013EE"/>
    <w:rsid w:val="00102373"/>
    <w:rsid w:val="00102A1A"/>
    <w:rsid w:val="00102EEB"/>
    <w:rsid w:val="00103243"/>
    <w:rsid w:val="0010678D"/>
    <w:rsid w:val="00107554"/>
    <w:rsid w:val="00107F3A"/>
    <w:rsid w:val="0011679E"/>
    <w:rsid w:val="00116AAE"/>
    <w:rsid w:val="001175FF"/>
    <w:rsid w:val="00117D8E"/>
    <w:rsid w:val="00122A9A"/>
    <w:rsid w:val="00122FB5"/>
    <w:rsid w:val="001301FF"/>
    <w:rsid w:val="001311C2"/>
    <w:rsid w:val="00132922"/>
    <w:rsid w:val="00135702"/>
    <w:rsid w:val="00137ADF"/>
    <w:rsid w:val="001406AE"/>
    <w:rsid w:val="00142EB4"/>
    <w:rsid w:val="0014310C"/>
    <w:rsid w:val="00145A18"/>
    <w:rsid w:val="00145BE0"/>
    <w:rsid w:val="0014647D"/>
    <w:rsid w:val="0014767D"/>
    <w:rsid w:val="00147743"/>
    <w:rsid w:val="0014792B"/>
    <w:rsid w:val="00151E23"/>
    <w:rsid w:val="001553BE"/>
    <w:rsid w:val="001559E1"/>
    <w:rsid w:val="001567BD"/>
    <w:rsid w:val="00157C45"/>
    <w:rsid w:val="00160130"/>
    <w:rsid w:val="00160BBF"/>
    <w:rsid w:val="001622B3"/>
    <w:rsid w:val="001637F4"/>
    <w:rsid w:val="00164A1C"/>
    <w:rsid w:val="001700D5"/>
    <w:rsid w:val="00170221"/>
    <w:rsid w:val="00170725"/>
    <w:rsid w:val="001712AD"/>
    <w:rsid w:val="001717B4"/>
    <w:rsid w:val="0017505A"/>
    <w:rsid w:val="00175882"/>
    <w:rsid w:val="001772BE"/>
    <w:rsid w:val="00181398"/>
    <w:rsid w:val="001848DB"/>
    <w:rsid w:val="00185E3D"/>
    <w:rsid w:val="00186C7B"/>
    <w:rsid w:val="00190248"/>
    <w:rsid w:val="00195419"/>
    <w:rsid w:val="001971C1"/>
    <w:rsid w:val="001A0A19"/>
    <w:rsid w:val="001A21B8"/>
    <w:rsid w:val="001A37E2"/>
    <w:rsid w:val="001A3DF6"/>
    <w:rsid w:val="001A4749"/>
    <w:rsid w:val="001A4A37"/>
    <w:rsid w:val="001A6DD3"/>
    <w:rsid w:val="001A7363"/>
    <w:rsid w:val="001B0CCE"/>
    <w:rsid w:val="001B17F1"/>
    <w:rsid w:val="001B1B35"/>
    <w:rsid w:val="001B1BD7"/>
    <w:rsid w:val="001B1D6F"/>
    <w:rsid w:val="001B1F0E"/>
    <w:rsid w:val="001B42D4"/>
    <w:rsid w:val="001B72F7"/>
    <w:rsid w:val="001B735F"/>
    <w:rsid w:val="001B7DD4"/>
    <w:rsid w:val="001C0F73"/>
    <w:rsid w:val="001C19DB"/>
    <w:rsid w:val="001C50D1"/>
    <w:rsid w:val="001C784E"/>
    <w:rsid w:val="001C7D9E"/>
    <w:rsid w:val="001D0FB6"/>
    <w:rsid w:val="001D1E99"/>
    <w:rsid w:val="001D3BC3"/>
    <w:rsid w:val="001D747F"/>
    <w:rsid w:val="001E04E6"/>
    <w:rsid w:val="001E2410"/>
    <w:rsid w:val="001E2663"/>
    <w:rsid w:val="001E283A"/>
    <w:rsid w:val="001E5ECD"/>
    <w:rsid w:val="001F0165"/>
    <w:rsid w:val="001F1AE9"/>
    <w:rsid w:val="001F1B60"/>
    <w:rsid w:val="001F2A60"/>
    <w:rsid w:val="001F489B"/>
    <w:rsid w:val="001F48C6"/>
    <w:rsid w:val="001F57E7"/>
    <w:rsid w:val="00200A3F"/>
    <w:rsid w:val="002012E8"/>
    <w:rsid w:val="00202259"/>
    <w:rsid w:val="00202711"/>
    <w:rsid w:val="002046FE"/>
    <w:rsid w:val="002053EC"/>
    <w:rsid w:val="00205ED1"/>
    <w:rsid w:val="0021000B"/>
    <w:rsid w:val="00210631"/>
    <w:rsid w:val="00213216"/>
    <w:rsid w:val="00213588"/>
    <w:rsid w:val="002136F7"/>
    <w:rsid w:val="00213C21"/>
    <w:rsid w:val="00215957"/>
    <w:rsid w:val="002170BF"/>
    <w:rsid w:val="002230B3"/>
    <w:rsid w:val="00223BFA"/>
    <w:rsid w:val="00224BF2"/>
    <w:rsid w:val="0022770A"/>
    <w:rsid w:val="0023104A"/>
    <w:rsid w:val="0023258C"/>
    <w:rsid w:val="00232FDA"/>
    <w:rsid w:val="002336E0"/>
    <w:rsid w:val="0023654B"/>
    <w:rsid w:val="002368B0"/>
    <w:rsid w:val="00241948"/>
    <w:rsid w:val="0024336E"/>
    <w:rsid w:val="00245BD9"/>
    <w:rsid w:val="0024622C"/>
    <w:rsid w:val="00246367"/>
    <w:rsid w:val="00250F35"/>
    <w:rsid w:val="00251F20"/>
    <w:rsid w:val="00252351"/>
    <w:rsid w:val="002531D8"/>
    <w:rsid w:val="00253747"/>
    <w:rsid w:val="00253FB2"/>
    <w:rsid w:val="0025427D"/>
    <w:rsid w:val="002568D3"/>
    <w:rsid w:val="0025772A"/>
    <w:rsid w:val="00260198"/>
    <w:rsid w:val="002613C2"/>
    <w:rsid w:val="002615B8"/>
    <w:rsid w:val="00263F92"/>
    <w:rsid w:val="00267ABC"/>
    <w:rsid w:val="00273E45"/>
    <w:rsid w:val="00274EA2"/>
    <w:rsid w:val="0027518C"/>
    <w:rsid w:val="002754BF"/>
    <w:rsid w:val="00276E5B"/>
    <w:rsid w:val="002776EC"/>
    <w:rsid w:val="002804EA"/>
    <w:rsid w:val="0028170D"/>
    <w:rsid w:val="0028274B"/>
    <w:rsid w:val="00283310"/>
    <w:rsid w:val="00285061"/>
    <w:rsid w:val="00287C7D"/>
    <w:rsid w:val="002908D0"/>
    <w:rsid w:val="00291C34"/>
    <w:rsid w:val="002924C9"/>
    <w:rsid w:val="0029537A"/>
    <w:rsid w:val="00296DF3"/>
    <w:rsid w:val="00296E49"/>
    <w:rsid w:val="00296F6F"/>
    <w:rsid w:val="002A0186"/>
    <w:rsid w:val="002A0FBD"/>
    <w:rsid w:val="002A118C"/>
    <w:rsid w:val="002A1A65"/>
    <w:rsid w:val="002A2D03"/>
    <w:rsid w:val="002A33DF"/>
    <w:rsid w:val="002A3FB3"/>
    <w:rsid w:val="002A430F"/>
    <w:rsid w:val="002A43AD"/>
    <w:rsid w:val="002A5658"/>
    <w:rsid w:val="002A710A"/>
    <w:rsid w:val="002A759C"/>
    <w:rsid w:val="002B01D4"/>
    <w:rsid w:val="002B289C"/>
    <w:rsid w:val="002B2A1B"/>
    <w:rsid w:val="002B3E49"/>
    <w:rsid w:val="002B58FF"/>
    <w:rsid w:val="002B61F3"/>
    <w:rsid w:val="002B64F6"/>
    <w:rsid w:val="002C29BE"/>
    <w:rsid w:val="002C5DEB"/>
    <w:rsid w:val="002C666C"/>
    <w:rsid w:val="002C7E9E"/>
    <w:rsid w:val="002D0E50"/>
    <w:rsid w:val="002D11BA"/>
    <w:rsid w:val="002D4F50"/>
    <w:rsid w:val="002D5C4D"/>
    <w:rsid w:val="002D694E"/>
    <w:rsid w:val="002D75C5"/>
    <w:rsid w:val="002D7D36"/>
    <w:rsid w:val="002E1CE3"/>
    <w:rsid w:val="002E259D"/>
    <w:rsid w:val="002E3FF4"/>
    <w:rsid w:val="002E4589"/>
    <w:rsid w:val="002E7EFC"/>
    <w:rsid w:val="002F0A64"/>
    <w:rsid w:val="002F361A"/>
    <w:rsid w:val="002F4A86"/>
    <w:rsid w:val="002F4C39"/>
    <w:rsid w:val="002F5702"/>
    <w:rsid w:val="002F6003"/>
    <w:rsid w:val="002F641A"/>
    <w:rsid w:val="002F6B60"/>
    <w:rsid w:val="002F7718"/>
    <w:rsid w:val="002F7EBB"/>
    <w:rsid w:val="00301CE8"/>
    <w:rsid w:val="0030310B"/>
    <w:rsid w:val="00304360"/>
    <w:rsid w:val="003046B1"/>
    <w:rsid w:val="00304ADE"/>
    <w:rsid w:val="00310AAF"/>
    <w:rsid w:val="00311A49"/>
    <w:rsid w:val="003125BE"/>
    <w:rsid w:val="00314D14"/>
    <w:rsid w:val="00314D5A"/>
    <w:rsid w:val="00315D73"/>
    <w:rsid w:val="00315FA8"/>
    <w:rsid w:val="00317863"/>
    <w:rsid w:val="00317869"/>
    <w:rsid w:val="0032512C"/>
    <w:rsid w:val="00325E53"/>
    <w:rsid w:val="003307C4"/>
    <w:rsid w:val="0033102C"/>
    <w:rsid w:val="003311BB"/>
    <w:rsid w:val="003378C6"/>
    <w:rsid w:val="00337D15"/>
    <w:rsid w:val="00342238"/>
    <w:rsid w:val="0034456E"/>
    <w:rsid w:val="003469DE"/>
    <w:rsid w:val="003528BD"/>
    <w:rsid w:val="00353981"/>
    <w:rsid w:val="00354B99"/>
    <w:rsid w:val="00354FB6"/>
    <w:rsid w:val="00356BD8"/>
    <w:rsid w:val="0035705A"/>
    <w:rsid w:val="003578F9"/>
    <w:rsid w:val="003604F6"/>
    <w:rsid w:val="00360F07"/>
    <w:rsid w:val="00361FD0"/>
    <w:rsid w:val="00365292"/>
    <w:rsid w:val="00366702"/>
    <w:rsid w:val="0036708D"/>
    <w:rsid w:val="00367BDC"/>
    <w:rsid w:val="003708A2"/>
    <w:rsid w:val="00375DC7"/>
    <w:rsid w:val="003765E6"/>
    <w:rsid w:val="00377BF2"/>
    <w:rsid w:val="0038280B"/>
    <w:rsid w:val="00382C4F"/>
    <w:rsid w:val="0038509E"/>
    <w:rsid w:val="00386178"/>
    <w:rsid w:val="003871E5"/>
    <w:rsid w:val="0038762A"/>
    <w:rsid w:val="003907E4"/>
    <w:rsid w:val="0039458E"/>
    <w:rsid w:val="00396B3C"/>
    <w:rsid w:val="003A0E60"/>
    <w:rsid w:val="003A104A"/>
    <w:rsid w:val="003A3479"/>
    <w:rsid w:val="003A62ED"/>
    <w:rsid w:val="003A719B"/>
    <w:rsid w:val="003A7C11"/>
    <w:rsid w:val="003B0124"/>
    <w:rsid w:val="003B0786"/>
    <w:rsid w:val="003B15E5"/>
    <w:rsid w:val="003B17A4"/>
    <w:rsid w:val="003B212D"/>
    <w:rsid w:val="003B34A2"/>
    <w:rsid w:val="003B4326"/>
    <w:rsid w:val="003B497F"/>
    <w:rsid w:val="003B49DB"/>
    <w:rsid w:val="003B64D7"/>
    <w:rsid w:val="003B6D7A"/>
    <w:rsid w:val="003B7630"/>
    <w:rsid w:val="003C0170"/>
    <w:rsid w:val="003C052C"/>
    <w:rsid w:val="003C078B"/>
    <w:rsid w:val="003C19A3"/>
    <w:rsid w:val="003C31AC"/>
    <w:rsid w:val="003C49BD"/>
    <w:rsid w:val="003C67E8"/>
    <w:rsid w:val="003C6BC3"/>
    <w:rsid w:val="003C79A6"/>
    <w:rsid w:val="003D2BD6"/>
    <w:rsid w:val="003D2EE0"/>
    <w:rsid w:val="003D7533"/>
    <w:rsid w:val="003D773B"/>
    <w:rsid w:val="003E0149"/>
    <w:rsid w:val="003E1B63"/>
    <w:rsid w:val="003E27C1"/>
    <w:rsid w:val="003E5C02"/>
    <w:rsid w:val="003E622F"/>
    <w:rsid w:val="003F14B6"/>
    <w:rsid w:val="003F24CB"/>
    <w:rsid w:val="003F24EA"/>
    <w:rsid w:val="003F2A48"/>
    <w:rsid w:val="003F3296"/>
    <w:rsid w:val="003F47C2"/>
    <w:rsid w:val="003F73B2"/>
    <w:rsid w:val="00400AAE"/>
    <w:rsid w:val="00400D77"/>
    <w:rsid w:val="0040164F"/>
    <w:rsid w:val="00402442"/>
    <w:rsid w:val="004064CE"/>
    <w:rsid w:val="0040653C"/>
    <w:rsid w:val="00406691"/>
    <w:rsid w:val="0040742A"/>
    <w:rsid w:val="00407949"/>
    <w:rsid w:val="00410C88"/>
    <w:rsid w:val="00410CBA"/>
    <w:rsid w:val="00411342"/>
    <w:rsid w:val="004115F8"/>
    <w:rsid w:val="00411875"/>
    <w:rsid w:val="00412598"/>
    <w:rsid w:val="00412758"/>
    <w:rsid w:val="004127BC"/>
    <w:rsid w:val="0041378F"/>
    <w:rsid w:val="00413CF8"/>
    <w:rsid w:val="00415E9F"/>
    <w:rsid w:val="004179CD"/>
    <w:rsid w:val="00417C28"/>
    <w:rsid w:val="0042124E"/>
    <w:rsid w:val="004239DC"/>
    <w:rsid w:val="0042416E"/>
    <w:rsid w:val="004241F2"/>
    <w:rsid w:val="004247AC"/>
    <w:rsid w:val="00425732"/>
    <w:rsid w:val="004259A3"/>
    <w:rsid w:val="004265D8"/>
    <w:rsid w:val="00427485"/>
    <w:rsid w:val="00432011"/>
    <w:rsid w:val="004321BD"/>
    <w:rsid w:val="00433D81"/>
    <w:rsid w:val="00434BF2"/>
    <w:rsid w:val="004362B2"/>
    <w:rsid w:val="00436A48"/>
    <w:rsid w:val="004370D8"/>
    <w:rsid w:val="00440611"/>
    <w:rsid w:val="00441EC2"/>
    <w:rsid w:val="00444236"/>
    <w:rsid w:val="00444EE5"/>
    <w:rsid w:val="00445419"/>
    <w:rsid w:val="004464D5"/>
    <w:rsid w:val="004467C2"/>
    <w:rsid w:val="004473EA"/>
    <w:rsid w:val="00452EDD"/>
    <w:rsid w:val="00453022"/>
    <w:rsid w:val="00453A03"/>
    <w:rsid w:val="004558A1"/>
    <w:rsid w:val="00456B42"/>
    <w:rsid w:val="00460510"/>
    <w:rsid w:val="00461766"/>
    <w:rsid w:val="00463D2A"/>
    <w:rsid w:val="004709BC"/>
    <w:rsid w:val="00471AE7"/>
    <w:rsid w:val="004728EC"/>
    <w:rsid w:val="00473338"/>
    <w:rsid w:val="00475A47"/>
    <w:rsid w:val="00476014"/>
    <w:rsid w:val="004776C7"/>
    <w:rsid w:val="0048092B"/>
    <w:rsid w:val="00480FA4"/>
    <w:rsid w:val="00482753"/>
    <w:rsid w:val="0048287D"/>
    <w:rsid w:val="00483773"/>
    <w:rsid w:val="00484243"/>
    <w:rsid w:val="0048578A"/>
    <w:rsid w:val="00492904"/>
    <w:rsid w:val="00492993"/>
    <w:rsid w:val="00492BC7"/>
    <w:rsid w:val="00493FA9"/>
    <w:rsid w:val="004941BD"/>
    <w:rsid w:val="00494A6C"/>
    <w:rsid w:val="004960C1"/>
    <w:rsid w:val="00496409"/>
    <w:rsid w:val="00497DEB"/>
    <w:rsid w:val="004A0616"/>
    <w:rsid w:val="004A121E"/>
    <w:rsid w:val="004A1795"/>
    <w:rsid w:val="004A17ED"/>
    <w:rsid w:val="004A389C"/>
    <w:rsid w:val="004A4A41"/>
    <w:rsid w:val="004A5ED1"/>
    <w:rsid w:val="004A6FC6"/>
    <w:rsid w:val="004B0A57"/>
    <w:rsid w:val="004B2594"/>
    <w:rsid w:val="004B3910"/>
    <w:rsid w:val="004B42B5"/>
    <w:rsid w:val="004B4C4A"/>
    <w:rsid w:val="004B5114"/>
    <w:rsid w:val="004B63AA"/>
    <w:rsid w:val="004C0025"/>
    <w:rsid w:val="004C0F08"/>
    <w:rsid w:val="004C23CA"/>
    <w:rsid w:val="004C5FE7"/>
    <w:rsid w:val="004C695C"/>
    <w:rsid w:val="004C74F5"/>
    <w:rsid w:val="004C7C94"/>
    <w:rsid w:val="004C7EC8"/>
    <w:rsid w:val="004D176C"/>
    <w:rsid w:val="004D2D10"/>
    <w:rsid w:val="004D3561"/>
    <w:rsid w:val="004D5502"/>
    <w:rsid w:val="004D56C8"/>
    <w:rsid w:val="004D5E7B"/>
    <w:rsid w:val="004D72B9"/>
    <w:rsid w:val="004D79BB"/>
    <w:rsid w:val="004E0BB0"/>
    <w:rsid w:val="004E23E8"/>
    <w:rsid w:val="004E3829"/>
    <w:rsid w:val="004E525D"/>
    <w:rsid w:val="004E5489"/>
    <w:rsid w:val="004E68BA"/>
    <w:rsid w:val="004E78D3"/>
    <w:rsid w:val="004F0D3F"/>
    <w:rsid w:val="004F1EB2"/>
    <w:rsid w:val="005002BD"/>
    <w:rsid w:val="00500B15"/>
    <w:rsid w:val="00502AB1"/>
    <w:rsid w:val="00510C39"/>
    <w:rsid w:val="005127E3"/>
    <w:rsid w:val="005140FA"/>
    <w:rsid w:val="00517555"/>
    <w:rsid w:val="005211A5"/>
    <w:rsid w:val="00521568"/>
    <w:rsid w:val="00522739"/>
    <w:rsid w:val="005234D2"/>
    <w:rsid w:val="00525DD5"/>
    <w:rsid w:val="00527C91"/>
    <w:rsid w:val="00530EBC"/>
    <w:rsid w:val="00531714"/>
    <w:rsid w:val="00531932"/>
    <w:rsid w:val="0053279D"/>
    <w:rsid w:val="0053426D"/>
    <w:rsid w:val="00534986"/>
    <w:rsid w:val="00535FCC"/>
    <w:rsid w:val="005364C9"/>
    <w:rsid w:val="00536B03"/>
    <w:rsid w:val="00540F1A"/>
    <w:rsid w:val="00546349"/>
    <w:rsid w:val="005477F8"/>
    <w:rsid w:val="005506C4"/>
    <w:rsid w:val="00552B57"/>
    <w:rsid w:val="00552D48"/>
    <w:rsid w:val="00554F1A"/>
    <w:rsid w:val="005601BB"/>
    <w:rsid w:val="0056082B"/>
    <w:rsid w:val="00560C47"/>
    <w:rsid w:val="005625A6"/>
    <w:rsid w:val="005645E1"/>
    <w:rsid w:val="00566093"/>
    <w:rsid w:val="005667FC"/>
    <w:rsid w:val="00566D22"/>
    <w:rsid w:val="00566E4D"/>
    <w:rsid w:val="005676FE"/>
    <w:rsid w:val="00571AC4"/>
    <w:rsid w:val="005753DF"/>
    <w:rsid w:val="00575E60"/>
    <w:rsid w:val="0057637E"/>
    <w:rsid w:val="00576836"/>
    <w:rsid w:val="00576853"/>
    <w:rsid w:val="00576A41"/>
    <w:rsid w:val="00581DF0"/>
    <w:rsid w:val="005821F9"/>
    <w:rsid w:val="00582312"/>
    <w:rsid w:val="00584788"/>
    <w:rsid w:val="00584F69"/>
    <w:rsid w:val="00585721"/>
    <w:rsid w:val="005866EC"/>
    <w:rsid w:val="00586F6D"/>
    <w:rsid w:val="00590E2D"/>
    <w:rsid w:val="00590FB6"/>
    <w:rsid w:val="005918CB"/>
    <w:rsid w:val="0059357F"/>
    <w:rsid w:val="0059371C"/>
    <w:rsid w:val="005947CD"/>
    <w:rsid w:val="0059486E"/>
    <w:rsid w:val="00597327"/>
    <w:rsid w:val="005A0B9B"/>
    <w:rsid w:val="005A0BCC"/>
    <w:rsid w:val="005A2220"/>
    <w:rsid w:val="005A3FA6"/>
    <w:rsid w:val="005B1466"/>
    <w:rsid w:val="005B1728"/>
    <w:rsid w:val="005B1CAA"/>
    <w:rsid w:val="005B29B2"/>
    <w:rsid w:val="005B2A1B"/>
    <w:rsid w:val="005B38DF"/>
    <w:rsid w:val="005B405F"/>
    <w:rsid w:val="005B5E4D"/>
    <w:rsid w:val="005B6AB8"/>
    <w:rsid w:val="005B7422"/>
    <w:rsid w:val="005C0C5B"/>
    <w:rsid w:val="005C1650"/>
    <w:rsid w:val="005C1A91"/>
    <w:rsid w:val="005C21E8"/>
    <w:rsid w:val="005C49D5"/>
    <w:rsid w:val="005C5149"/>
    <w:rsid w:val="005C6C55"/>
    <w:rsid w:val="005C7676"/>
    <w:rsid w:val="005C790B"/>
    <w:rsid w:val="005D0964"/>
    <w:rsid w:val="005D1045"/>
    <w:rsid w:val="005D1A61"/>
    <w:rsid w:val="005D1B46"/>
    <w:rsid w:val="005D3F72"/>
    <w:rsid w:val="005D588B"/>
    <w:rsid w:val="005D5E37"/>
    <w:rsid w:val="005D60FF"/>
    <w:rsid w:val="005D625C"/>
    <w:rsid w:val="005D6A1C"/>
    <w:rsid w:val="005E2E18"/>
    <w:rsid w:val="005E3513"/>
    <w:rsid w:val="005E3EB3"/>
    <w:rsid w:val="005E43DF"/>
    <w:rsid w:val="005E5BEC"/>
    <w:rsid w:val="005F359D"/>
    <w:rsid w:val="005F3D17"/>
    <w:rsid w:val="005F451E"/>
    <w:rsid w:val="005F4A28"/>
    <w:rsid w:val="005F5EDD"/>
    <w:rsid w:val="005F652F"/>
    <w:rsid w:val="005F67A1"/>
    <w:rsid w:val="005F67BB"/>
    <w:rsid w:val="005F70AD"/>
    <w:rsid w:val="006001EA"/>
    <w:rsid w:val="00601730"/>
    <w:rsid w:val="00601FF0"/>
    <w:rsid w:val="00602268"/>
    <w:rsid w:val="00603709"/>
    <w:rsid w:val="006037D9"/>
    <w:rsid w:val="00605A17"/>
    <w:rsid w:val="00606183"/>
    <w:rsid w:val="0061069F"/>
    <w:rsid w:val="006117B5"/>
    <w:rsid w:val="00614934"/>
    <w:rsid w:val="006160C7"/>
    <w:rsid w:val="006166CF"/>
    <w:rsid w:val="0062034D"/>
    <w:rsid w:val="00620583"/>
    <w:rsid w:val="00621989"/>
    <w:rsid w:val="006227DE"/>
    <w:rsid w:val="00622C2C"/>
    <w:rsid w:val="00622C90"/>
    <w:rsid w:val="00622FAD"/>
    <w:rsid w:val="0062362B"/>
    <w:rsid w:val="00623CAB"/>
    <w:rsid w:val="006241C4"/>
    <w:rsid w:val="006266C0"/>
    <w:rsid w:val="006278FB"/>
    <w:rsid w:val="006308D6"/>
    <w:rsid w:val="0063426D"/>
    <w:rsid w:val="0063568F"/>
    <w:rsid w:val="00637B19"/>
    <w:rsid w:val="00640297"/>
    <w:rsid w:val="006413CB"/>
    <w:rsid w:val="0064157E"/>
    <w:rsid w:val="006416FD"/>
    <w:rsid w:val="0064202B"/>
    <w:rsid w:val="006431AA"/>
    <w:rsid w:val="00643E93"/>
    <w:rsid w:val="00647D6E"/>
    <w:rsid w:val="00650FDC"/>
    <w:rsid w:val="00653667"/>
    <w:rsid w:val="00654A46"/>
    <w:rsid w:val="00655BEF"/>
    <w:rsid w:val="0065770F"/>
    <w:rsid w:val="0065773D"/>
    <w:rsid w:val="00664A06"/>
    <w:rsid w:val="00664C97"/>
    <w:rsid w:val="0066509B"/>
    <w:rsid w:val="00665D20"/>
    <w:rsid w:val="00672D8C"/>
    <w:rsid w:val="00674AAD"/>
    <w:rsid w:val="00675C4A"/>
    <w:rsid w:val="00676A65"/>
    <w:rsid w:val="00676B3D"/>
    <w:rsid w:val="00680573"/>
    <w:rsid w:val="00682755"/>
    <w:rsid w:val="0068401C"/>
    <w:rsid w:val="00686DD4"/>
    <w:rsid w:val="00686EB2"/>
    <w:rsid w:val="00687410"/>
    <w:rsid w:val="00697C95"/>
    <w:rsid w:val="006A0538"/>
    <w:rsid w:val="006A1241"/>
    <w:rsid w:val="006A1E1A"/>
    <w:rsid w:val="006A24AA"/>
    <w:rsid w:val="006A3CD9"/>
    <w:rsid w:val="006A7C81"/>
    <w:rsid w:val="006B2379"/>
    <w:rsid w:val="006B248F"/>
    <w:rsid w:val="006B264B"/>
    <w:rsid w:val="006B2CC4"/>
    <w:rsid w:val="006B460B"/>
    <w:rsid w:val="006B47ED"/>
    <w:rsid w:val="006B4942"/>
    <w:rsid w:val="006B4A04"/>
    <w:rsid w:val="006B546F"/>
    <w:rsid w:val="006B5D2B"/>
    <w:rsid w:val="006B65DA"/>
    <w:rsid w:val="006B6657"/>
    <w:rsid w:val="006B6AE0"/>
    <w:rsid w:val="006C09E8"/>
    <w:rsid w:val="006C0F1E"/>
    <w:rsid w:val="006C176D"/>
    <w:rsid w:val="006C1D83"/>
    <w:rsid w:val="006C20E8"/>
    <w:rsid w:val="006C7276"/>
    <w:rsid w:val="006D2DD5"/>
    <w:rsid w:val="006D39F3"/>
    <w:rsid w:val="006D3C6B"/>
    <w:rsid w:val="006D4257"/>
    <w:rsid w:val="006D4A7D"/>
    <w:rsid w:val="006D7E44"/>
    <w:rsid w:val="006E054F"/>
    <w:rsid w:val="006E1B77"/>
    <w:rsid w:val="006E323D"/>
    <w:rsid w:val="006E3819"/>
    <w:rsid w:val="006E4844"/>
    <w:rsid w:val="006E49AA"/>
    <w:rsid w:val="006E51F1"/>
    <w:rsid w:val="006E5659"/>
    <w:rsid w:val="006E56EE"/>
    <w:rsid w:val="006E5E4F"/>
    <w:rsid w:val="006E6B8F"/>
    <w:rsid w:val="006F20D0"/>
    <w:rsid w:val="006F2871"/>
    <w:rsid w:val="006F2FF3"/>
    <w:rsid w:val="006F2FF7"/>
    <w:rsid w:val="006F66B8"/>
    <w:rsid w:val="006F6F80"/>
    <w:rsid w:val="006F7E43"/>
    <w:rsid w:val="00701E27"/>
    <w:rsid w:val="00703ABF"/>
    <w:rsid w:val="007105C6"/>
    <w:rsid w:val="00710715"/>
    <w:rsid w:val="00710A4A"/>
    <w:rsid w:val="007110A5"/>
    <w:rsid w:val="0071210B"/>
    <w:rsid w:val="00712A0B"/>
    <w:rsid w:val="007134AF"/>
    <w:rsid w:val="00713508"/>
    <w:rsid w:val="00713F35"/>
    <w:rsid w:val="00715ECF"/>
    <w:rsid w:val="007179E8"/>
    <w:rsid w:val="007208BE"/>
    <w:rsid w:val="007224E9"/>
    <w:rsid w:val="00722C68"/>
    <w:rsid w:val="007240EF"/>
    <w:rsid w:val="007300B3"/>
    <w:rsid w:val="00730C69"/>
    <w:rsid w:val="00731271"/>
    <w:rsid w:val="0073359E"/>
    <w:rsid w:val="0073552A"/>
    <w:rsid w:val="007357B1"/>
    <w:rsid w:val="00737986"/>
    <w:rsid w:val="00737D14"/>
    <w:rsid w:val="00740759"/>
    <w:rsid w:val="00740A0D"/>
    <w:rsid w:val="00741E71"/>
    <w:rsid w:val="00745C4F"/>
    <w:rsid w:val="007509CA"/>
    <w:rsid w:val="007514E1"/>
    <w:rsid w:val="00752105"/>
    <w:rsid w:val="007532B4"/>
    <w:rsid w:val="00753A00"/>
    <w:rsid w:val="00753CF0"/>
    <w:rsid w:val="00754826"/>
    <w:rsid w:val="00755E77"/>
    <w:rsid w:val="00757D37"/>
    <w:rsid w:val="00760773"/>
    <w:rsid w:val="00764A1E"/>
    <w:rsid w:val="00764CF1"/>
    <w:rsid w:val="00764DA5"/>
    <w:rsid w:val="00764E56"/>
    <w:rsid w:val="00765BA9"/>
    <w:rsid w:val="00766768"/>
    <w:rsid w:val="0076746D"/>
    <w:rsid w:val="00771417"/>
    <w:rsid w:val="00771D8A"/>
    <w:rsid w:val="007722A4"/>
    <w:rsid w:val="00772669"/>
    <w:rsid w:val="00775681"/>
    <w:rsid w:val="00775CEE"/>
    <w:rsid w:val="0077771B"/>
    <w:rsid w:val="00785289"/>
    <w:rsid w:val="00785705"/>
    <w:rsid w:val="007931EE"/>
    <w:rsid w:val="00793C07"/>
    <w:rsid w:val="00793EBE"/>
    <w:rsid w:val="0079483B"/>
    <w:rsid w:val="00795D21"/>
    <w:rsid w:val="00795DD2"/>
    <w:rsid w:val="00797BDB"/>
    <w:rsid w:val="00797EE5"/>
    <w:rsid w:val="007A0F99"/>
    <w:rsid w:val="007A2559"/>
    <w:rsid w:val="007A45C0"/>
    <w:rsid w:val="007A5151"/>
    <w:rsid w:val="007A6230"/>
    <w:rsid w:val="007A643E"/>
    <w:rsid w:val="007A7056"/>
    <w:rsid w:val="007B0AE2"/>
    <w:rsid w:val="007B0F3D"/>
    <w:rsid w:val="007B32D0"/>
    <w:rsid w:val="007B4F63"/>
    <w:rsid w:val="007B51E8"/>
    <w:rsid w:val="007B66B1"/>
    <w:rsid w:val="007B6948"/>
    <w:rsid w:val="007C0751"/>
    <w:rsid w:val="007C148D"/>
    <w:rsid w:val="007C2E0C"/>
    <w:rsid w:val="007C3146"/>
    <w:rsid w:val="007C357D"/>
    <w:rsid w:val="007C4343"/>
    <w:rsid w:val="007C436B"/>
    <w:rsid w:val="007C531C"/>
    <w:rsid w:val="007C594E"/>
    <w:rsid w:val="007C69E1"/>
    <w:rsid w:val="007C6B25"/>
    <w:rsid w:val="007D077E"/>
    <w:rsid w:val="007D148A"/>
    <w:rsid w:val="007D2EA9"/>
    <w:rsid w:val="007D4A3B"/>
    <w:rsid w:val="007D697C"/>
    <w:rsid w:val="007D7D0C"/>
    <w:rsid w:val="007E50AC"/>
    <w:rsid w:val="007E5B66"/>
    <w:rsid w:val="007E7812"/>
    <w:rsid w:val="007F10D5"/>
    <w:rsid w:val="007F11C6"/>
    <w:rsid w:val="007F14F8"/>
    <w:rsid w:val="007F43CB"/>
    <w:rsid w:val="007F51A6"/>
    <w:rsid w:val="007F7754"/>
    <w:rsid w:val="00802416"/>
    <w:rsid w:val="00802F3B"/>
    <w:rsid w:val="0080340C"/>
    <w:rsid w:val="00803F16"/>
    <w:rsid w:val="0080655B"/>
    <w:rsid w:val="008117E6"/>
    <w:rsid w:val="0081549D"/>
    <w:rsid w:val="00815581"/>
    <w:rsid w:val="00815829"/>
    <w:rsid w:val="00820A3D"/>
    <w:rsid w:val="008308EB"/>
    <w:rsid w:val="00832347"/>
    <w:rsid w:val="00833B8D"/>
    <w:rsid w:val="00834E38"/>
    <w:rsid w:val="00834ECF"/>
    <w:rsid w:val="00835A6A"/>
    <w:rsid w:val="00836100"/>
    <w:rsid w:val="008367C2"/>
    <w:rsid w:val="00836C0B"/>
    <w:rsid w:val="008426EB"/>
    <w:rsid w:val="0084450C"/>
    <w:rsid w:val="00845D8A"/>
    <w:rsid w:val="0085097A"/>
    <w:rsid w:val="008510C3"/>
    <w:rsid w:val="00851307"/>
    <w:rsid w:val="008529A4"/>
    <w:rsid w:val="00855B45"/>
    <w:rsid w:val="00856EAF"/>
    <w:rsid w:val="00860B17"/>
    <w:rsid w:val="0086385B"/>
    <w:rsid w:val="00865622"/>
    <w:rsid w:val="0086576C"/>
    <w:rsid w:val="00871E36"/>
    <w:rsid w:val="0087233A"/>
    <w:rsid w:val="00872755"/>
    <w:rsid w:val="00876D90"/>
    <w:rsid w:val="00877BBB"/>
    <w:rsid w:val="00877E0E"/>
    <w:rsid w:val="008806B6"/>
    <w:rsid w:val="008823C9"/>
    <w:rsid w:val="0088758C"/>
    <w:rsid w:val="00892FFD"/>
    <w:rsid w:val="00894769"/>
    <w:rsid w:val="0089544C"/>
    <w:rsid w:val="008959EE"/>
    <w:rsid w:val="008970BF"/>
    <w:rsid w:val="008A0184"/>
    <w:rsid w:val="008A16CD"/>
    <w:rsid w:val="008A1A5F"/>
    <w:rsid w:val="008A6717"/>
    <w:rsid w:val="008A77C7"/>
    <w:rsid w:val="008B03B2"/>
    <w:rsid w:val="008B15EF"/>
    <w:rsid w:val="008B223B"/>
    <w:rsid w:val="008B2249"/>
    <w:rsid w:val="008B289F"/>
    <w:rsid w:val="008B4A26"/>
    <w:rsid w:val="008B5A3A"/>
    <w:rsid w:val="008B77B5"/>
    <w:rsid w:val="008C13FC"/>
    <w:rsid w:val="008C1E5C"/>
    <w:rsid w:val="008C1FC4"/>
    <w:rsid w:val="008C24A2"/>
    <w:rsid w:val="008C27D3"/>
    <w:rsid w:val="008C2E8D"/>
    <w:rsid w:val="008C3F20"/>
    <w:rsid w:val="008C44BA"/>
    <w:rsid w:val="008C7282"/>
    <w:rsid w:val="008D1126"/>
    <w:rsid w:val="008D1DEB"/>
    <w:rsid w:val="008D3B53"/>
    <w:rsid w:val="008D46B1"/>
    <w:rsid w:val="008D5215"/>
    <w:rsid w:val="008D5EFE"/>
    <w:rsid w:val="008D7071"/>
    <w:rsid w:val="008D7212"/>
    <w:rsid w:val="008E0366"/>
    <w:rsid w:val="008E0966"/>
    <w:rsid w:val="008E1004"/>
    <w:rsid w:val="008E1034"/>
    <w:rsid w:val="008E4F6C"/>
    <w:rsid w:val="008E5D8B"/>
    <w:rsid w:val="008E66FD"/>
    <w:rsid w:val="008E6C7E"/>
    <w:rsid w:val="008F0F8C"/>
    <w:rsid w:val="008F150B"/>
    <w:rsid w:val="008F4115"/>
    <w:rsid w:val="008F466D"/>
    <w:rsid w:val="008F4AAB"/>
    <w:rsid w:val="008F5612"/>
    <w:rsid w:val="008F6CCA"/>
    <w:rsid w:val="008F700F"/>
    <w:rsid w:val="00904043"/>
    <w:rsid w:val="009048E7"/>
    <w:rsid w:val="00904F19"/>
    <w:rsid w:val="00906223"/>
    <w:rsid w:val="009064DE"/>
    <w:rsid w:val="00910D06"/>
    <w:rsid w:val="00911E65"/>
    <w:rsid w:val="00912082"/>
    <w:rsid w:val="00915ECC"/>
    <w:rsid w:val="00916364"/>
    <w:rsid w:val="00916C4F"/>
    <w:rsid w:val="009170C4"/>
    <w:rsid w:val="00921444"/>
    <w:rsid w:val="00922299"/>
    <w:rsid w:val="009249DC"/>
    <w:rsid w:val="009251A7"/>
    <w:rsid w:val="00925528"/>
    <w:rsid w:val="00926F52"/>
    <w:rsid w:val="009303B1"/>
    <w:rsid w:val="00930C8C"/>
    <w:rsid w:val="00932247"/>
    <w:rsid w:val="00932541"/>
    <w:rsid w:val="00935897"/>
    <w:rsid w:val="00940187"/>
    <w:rsid w:val="0094087C"/>
    <w:rsid w:val="00940889"/>
    <w:rsid w:val="0094143E"/>
    <w:rsid w:val="00943089"/>
    <w:rsid w:val="00944791"/>
    <w:rsid w:val="009457CE"/>
    <w:rsid w:val="00950550"/>
    <w:rsid w:val="00951075"/>
    <w:rsid w:val="00951B37"/>
    <w:rsid w:val="00952143"/>
    <w:rsid w:val="00953938"/>
    <w:rsid w:val="00953FA4"/>
    <w:rsid w:val="009547A9"/>
    <w:rsid w:val="00955544"/>
    <w:rsid w:val="00955795"/>
    <w:rsid w:val="00955B56"/>
    <w:rsid w:val="00962DF1"/>
    <w:rsid w:val="0096496B"/>
    <w:rsid w:val="00965513"/>
    <w:rsid w:val="0096629F"/>
    <w:rsid w:val="009667F5"/>
    <w:rsid w:val="00966BFB"/>
    <w:rsid w:val="009700DC"/>
    <w:rsid w:val="00970A8C"/>
    <w:rsid w:val="00970BC4"/>
    <w:rsid w:val="009733F6"/>
    <w:rsid w:val="009740F8"/>
    <w:rsid w:val="00974D62"/>
    <w:rsid w:val="00976C57"/>
    <w:rsid w:val="009800C2"/>
    <w:rsid w:val="009805F3"/>
    <w:rsid w:val="00981097"/>
    <w:rsid w:val="009861FC"/>
    <w:rsid w:val="0098689F"/>
    <w:rsid w:val="00986F8B"/>
    <w:rsid w:val="00987691"/>
    <w:rsid w:val="00987FE4"/>
    <w:rsid w:val="009900E1"/>
    <w:rsid w:val="009915E6"/>
    <w:rsid w:val="009921F9"/>
    <w:rsid w:val="009928D8"/>
    <w:rsid w:val="00993B54"/>
    <w:rsid w:val="00993F79"/>
    <w:rsid w:val="009951F1"/>
    <w:rsid w:val="00996B40"/>
    <w:rsid w:val="00996F6D"/>
    <w:rsid w:val="00997EBE"/>
    <w:rsid w:val="009A3917"/>
    <w:rsid w:val="009A39D7"/>
    <w:rsid w:val="009A3C20"/>
    <w:rsid w:val="009A4306"/>
    <w:rsid w:val="009A6E87"/>
    <w:rsid w:val="009B0949"/>
    <w:rsid w:val="009B12FD"/>
    <w:rsid w:val="009B1C61"/>
    <w:rsid w:val="009B25DE"/>
    <w:rsid w:val="009B5A6A"/>
    <w:rsid w:val="009B6432"/>
    <w:rsid w:val="009B6AAB"/>
    <w:rsid w:val="009B769C"/>
    <w:rsid w:val="009B7A90"/>
    <w:rsid w:val="009C1DB9"/>
    <w:rsid w:val="009C4039"/>
    <w:rsid w:val="009C447D"/>
    <w:rsid w:val="009C4E3F"/>
    <w:rsid w:val="009C5113"/>
    <w:rsid w:val="009C67CC"/>
    <w:rsid w:val="009C7925"/>
    <w:rsid w:val="009C7F8E"/>
    <w:rsid w:val="009D0703"/>
    <w:rsid w:val="009D15B1"/>
    <w:rsid w:val="009D3F39"/>
    <w:rsid w:val="009D58C5"/>
    <w:rsid w:val="009D5BC0"/>
    <w:rsid w:val="009D67BF"/>
    <w:rsid w:val="009D7AB7"/>
    <w:rsid w:val="009D7B3B"/>
    <w:rsid w:val="009E0812"/>
    <w:rsid w:val="009E08FE"/>
    <w:rsid w:val="009E1D5C"/>
    <w:rsid w:val="009E1FD4"/>
    <w:rsid w:val="009E1FEB"/>
    <w:rsid w:val="009E7508"/>
    <w:rsid w:val="009E7DBB"/>
    <w:rsid w:val="009F31EF"/>
    <w:rsid w:val="009F3D27"/>
    <w:rsid w:val="009F6B0D"/>
    <w:rsid w:val="009F70DA"/>
    <w:rsid w:val="00A00900"/>
    <w:rsid w:val="00A0129D"/>
    <w:rsid w:val="00A0135A"/>
    <w:rsid w:val="00A01B4B"/>
    <w:rsid w:val="00A028EC"/>
    <w:rsid w:val="00A0296A"/>
    <w:rsid w:val="00A02F88"/>
    <w:rsid w:val="00A043C2"/>
    <w:rsid w:val="00A05944"/>
    <w:rsid w:val="00A065D8"/>
    <w:rsid w:val="00A06FF2"/>
    <w:rsid w:val="00A07408"/>
    <w:rsid w:val="00A10048"/>
    <w:rsid w:val="00A10ABF"/>
    <w:rsid w:val="00A11661"/>
    <w:rsid w:val="00A13779"/>
    <w:rsid w:val="00A15117"/>
    <w:rsid w:val="00A15760"/>
    <w:rsid w:val="00A15846"/>
    <w:rsid w:val="00A15B89"/>
    <w:rsid w:val="00A15FF8"/>
    <w:rsid w:val="00A170CE"/>
    <w:rsid w:val="00A20B55"/>
    <w:rsid w:val="00A230B1"/>
    <w:rsid w:val="00A23EC9"/>
    <w:rsid w:val="00A23F5C"/>
    <w:rsid w:val="00A24981"/>
    <w:rsid w:val="00A24A42"/>
    <w:rsid w:val="00A24EC9"/>
    <w:rsid w:val="00A24F7C"/>
    <w:rsid w:val="00A3030A"/>
    <w:rsid w:val="00A30B6C"/>
    <w:rsid w:val="00A31EF1"/>
    <w:rsid w:val="00A32222"/>
    <w:rsid w:val="00A35EE1"/>
    <w:rsid w:val="00A36DBF"/>
    <w:rsid w:val="00A374C1"/>
    <w:rsid w:val="00A37EBE"/>
    <w:rsid w:val="00A41F6E"/>
    <w:rsid w:val="00A425A9"/>
    <w:rsid w:val="00A42756"/>
    <w:rsid w:val="00A4310E"/>
    <w:rsid w:val="00A43D22"/>
    <w:rsid w:val="00A51788"/>
    <w:rsid w:val="00A53BB0"/>
    <w:rsid w:val="00A540F5"/>
    <w:rsid w:val="00A55655"/>
    <w:rsid w:val="00A55BD5"/>
    <w:rsid w:val="00A55E09"/>
    <w:rsid w:val="00A5619B"/>
    <w:rsid w:val="00A561C7"/>
    <w:rsid w:val="00A56B32"/>
    <w:rsid w:val="00A56E47"/>
    <w:rsid w:val="00A5700E"/>
    <w:rsid w:val="00A57747"/>
    <w:rsid w:val="00A6100E"/>
    <w:rsid w:val="00A61968"/>
    <w:rsid w:val="00A627A0"/>
    <w:rsid w:val="00A62810"/>
    <w:rsid w:val="00A63FC8"/>
    <w:rsid w:val="00A64012"/>
    <w:rsid w:val="00A64055"/>
    <w:rsid w:val="00A64297"/>
    <w:rsid w:val="00A70438"/>
    <w:rsid w:val="00A7051C"/>
    <w:rsid w:val="00A70FBE"/>
    <w:rsid w:val="00A715F4"/>
    <w:rsid w:val="00A76B76"/>
    <w:rsid w:val="00A77E68"/>
    <w:rsid w:val="00A8052F"/>
    <w:rsid w:val="00A83F11"/>
    <w:rsid w:val="00A84C5D"/>
    <w:rsid w:val="00A85826"/>
    <w:rsid w:val="00A87942"/>
    <w:rsid w:val="00A91028"/>
    <w:rsid w:val="00A912D7"/>
    <w:rsid w:val="00A92E15"/>
    <w:rsid w:val="00A94BF6"/>
    <w:rsid w:val="00A95C2B"/>
    <w:rsid w:val="00A976A5"/>
    <w:rsid w:val="00A976D0"/>
    <w:rsid w:val="00AA031E"/>
    <w:rsid w:val="00AA34E4"/>
    <w:rsid w:val="00AA3B2D"/>
    <w:rsid w:val="00AA3E6D"/>
    <w:rsid w:val="00AA65D1"/>
    <w:rsid w:val="00AA7ED5"/>
    <w:rsid w:val="00AB07FE"/>
    <w:rsid w:val="00AB3977"/>
    <w:rsid w:val="00AB57D4"/>
    <w:rsid w:val="00AB70B0"/>
    <w:rsid w:val="00AB76EB"/>
    <w:rsid w:val="00AB7DC2"/>
    <w:rsid w:val="00AC0E30"/>
    <w:rsid w:val="00AC2602"/>
    <w:rsid w:val="00AC2D3B"/>
    <w:rsid w:val="00AC3ADD"/>
    <w:rsid w:val="00AC3DB7"/>
    <w:rsid w:val="00AC48B4"/>
    <w:rsid w:val="00AC58D4"/>
    <w:rsid w:val="00AC643E"/>
    <w:rsid w:val="00AD126B"/>
    <w:rsid w:val="00AD3E76"/>
    <w:rsid w:val="00AD5DCC"/>
    <w:rsid w:val="00AD79E5"/>
    <w:rsid w:val="00AE2010"/>
    <w:rsid w:val="00AE3217"/>
    <w:rsid w:val="00AE4077"/>
    <w:rsid w:val="00AE4BE7"/>
    <w:rsid w:val="00AE5E3A"/>
    <w:rsid w:val="00AE6385"/>
    <w:rsid w:val="00AF11A6"/>
    <w:rsid w:val="00AF1837"/>
    <w:rsid w:val="00AF278C"/>
    <w:rsid w:val="00AF2B00"/>
    <w:rsid w:val="00AF3010"/>
    <w:rsid w:val="00AF4E4A"/>
    <w:rsid w:val="00AF504D"/>
    <w:rsid w:val="00AF5EA8"/>
    <w:rsid w:val="00B0118D"/>
    <w:rsid w:val="00B01C58"/>
    <w:rsid w:val="00B020A0"/>
    <w:rsid w:val="00B0286D"/>
    <w:rsid w:val="00B05163"/>
    <w:rsid w:val="00B05831"/>
    <w:rsid w:val="00B06DCE"/>
    <w:rsid w:val="00B10A04"/>
    <w:rsid w:val="00B10B8E"/>
    <w:rsid w:val="00B12C79"/>
    <w:rsid w:val="00B12E50"/>
    <w:rsid w:val="00B1363E"/>
    <w:rsid w:val="00B13C5D"/>
    <w:rsid w:val="00B15360"/>
    <w:rsid w:val="00B16596"/>
    <w:rsid w:val="00B165D5"/>
    <w:rsid w:val="00B1760E"/>
    <w:rsid w:val="00B22568"/>
    <w:rsid w:val="00B23B7D"/>
    <w:rsid w:val="00B23FF7"/>
    <w:rsid w:val="00B24B91"/>
    <w:rsid w:val="00B25F33"/>
    <w:rsid w:val="00B26B37"/>
    <w:rsid w:val="00B30762"/>
    <w:rsid w:val="00B3270D"/>
    <w:rsid w:val="00B33255"/>
    <w:rsid w:val="00B335F6"/>
    <w:rsid w:val="00B33B54"/>
    <w:rsid w:val="00B343D1"/>
    <w:rsid w:val="00B360A8"/>
    <w:rsid w:val="00B3613F"/>
    <w:rsid w:val="00B36455"/>
    <w:rsid w:val="00B36945"/>
    <w:rsid w:val="00B3794D"/>
    <w:rsid w:val="00B400E0"/>
    <w:rsid w:val="00B434FF"/>
    <w:rsid w:val="00B436EC"/>
    <w:rsid w:val="00B44CD1"/>
    <w:rsid w:val="00B4528C"/>
    <w:rsid w:val="00B4615F"/>
    <w:rsid w:val="00B467F9"/>
    <w:rsid w:val="00B472D1"/>
    <w:rsid w:val="00B53436"/>
    <w:rsid w:val="00B53598"/>
    <w:rsid w:val="00B5382C"/>
    <w:rsid w:val="00B54039"/>
    <w:rsid w:val="00B54BED"/>
    <w:rsid w:val="00B554B3"/>
    <w:rsid w:val="00B57F32"/>
    <w:rsid w:val="00B61A80"/>
    <w:rsid w:val="00B6294A"/>
    <w:rsid w:val="00B63760"/>
    <w:rsid w:val="00B65023"/>
    <w:rsid w:val="00B671F7"/>
    <w:rsid w:val="00B70009"/>
    <w:rsid w:val="00B70C6E"/>
    <w:rsid w:val="00B71118"/>
    <w:rsid w:val="00B71A5B"/>
    <w:rsid w:val="00B72704"/>
    <w:rsid w:val="00B73435"/>
    <w:rsid w:val="00B73A05"/>
    <w:rsid w:val="00B74304"/>
    <w:rsid w:val="00B765B0"/>
    <w:rsid w:val="00B77799"/>
    <w:rsid w:val="00B8018A"/>
    <w:rsid w:val="00B802FB"/>
    <w:rsid w:val="00B80619"/>
    <w:rsid w:val="00B81E82"/>
    <w:rsid w:val="00B82A84"/>
    <w:rsid w:val="00B83D21"/>
    <w:rsid w:val="00B86116"/>
    <w:rsid w:val="00B8769F"/>
    <w:rsid w:val="00B90450"/>
    <w:rsid w:val="00B91880"/>
    <w:rsid w:val="00B924E1"/>
    <w:rsid w:val="00B9508F"/>
    <w:rsid w:val="00B96004"/>
    <w:rsid w:val="00BA09F1"/>
    <w:rsid w:val="00BA0A60"/>
    <w:rsid w:val="00BA17B8"/>
    <w:rsid w:val="00BA17D6"/>
    <w:rsid w:val="00BA1E4A"/>
    <w:rsid w:val="00BA3900"/>
    <w:rsid w:val="00BA3B02"/>
    <w:rsid w:val="00BA4DA7"/>
    <w:rsid w:val="00BA5E5F"/>
    <w:rsid w:val="00BB0482"/>
    <w:rsid w:val="00BB0CBE"/>
    <w:rsid w:val="00BB10EF"/>
    <w:rsid w:val="00BB2090"/>
    <w:rsid w:val="00BB22FD"/>
    <w:rsid w:val="00BB2F85"/>
    <w:rsid w:val="00BB4B94"/>
    <w:rsid w:val="00BB577F"/>
    <w:rsid w:val="00BB6C45"/>
    <w:rsid w:val="00BC0640"/>
    <w:rsid w:val="00BC73BA"/>
    <w:rsid w:val="00BC75D6"/>
    <w:rsid w:val="00BC7C6B"/>
    <w:rsid w:val="00BD0AEF"/>
    <w:rsid w:val="00BD16B7"/>
    <w:rsid w:val="00BD1F0A"/>
    <w:rsid w:val="00BD3A58"/>
    <w:rsid w:val="00BD3D54"/>
    <w:rsid w:val="00BD4885"/>
    <w:rsid w:val="00BD6FA4"/>
    <w:rsid w:val="00BD7924"/>
    <w:rsid w:val="00BE1E3E"/>
    <w:rsid w:val="00BE6914"/>
    <w:rsid w:val="00BE6CD6"/>
    <w:rsid w:val="00BF0F16"/>
    <w:rsid w:val="00BF368F"/>
    <w:rsid w:val="00BF3744"/>
    <w:rsid w:val="00BF6725"/>
    <w:rsid w:val="00BF69E4"/>
    <w:rsid w:val="00BF7D0C"/>
    <w:rsid w:val="00BF7ED7"/>
    <w:rsid w:val="00C0068E"/>
    <w:rsid w:val="00C0151D"/>
    <w:rsid w:val="00C016CD"/>
    <w:rsid w:val="00C05E02"/>
    <w:rsid w:val="00C146C6"/>
    <w:rsid w:val="00C16DEC"/>
    <w:rsid w:val="00C21484"/>
    <w:rsid w:val="00C23FCB"/>
    <w:rsid w:val="00C26BD7"/>
    <w:rsid w:val="00C31664"/>
    <w:rsid w:val="00C32885"/>
    <w:rsid w:val="00C32CA7"/>
    <w:rsid w:val="00C342C6"/>
    <w:rsid w:val="00C36CD8"/>
    <w:rsid w:val="00C37263"/>
    <w:rsid w:val="00C4028A"/>
    <w:rsid w:val="00C423B5"/>
    <w:rsid w:val="00C45BD0"/>
    <w:rsid w:val="00C464E6"/>
    <w:rsid w:val="00C47D32"/>
    <w:rsid w:val="00C506FB"/>
    <w:rsid w:val="00C5196A"/>
    <w:rsid w:val="00C520C2"/>
    <w:rsid w:val="00C520DA"/>
    <w:rsid w:val="00C52D9C"/>
    <w:rsid w:val="00C54E4B"/>
    <w:rsid w:val="00C557FA"/>
    <w:rsid w:val="00C56016"/>
    <w:rsid w:val="00C56FC1"/>
    <w:rsid w:val="00C601F2"/>
    <w:rsid w:val="00C60518"/>
    <w:rsid w:val="00C61A90"/>
    <w:rsid w:val="00C620BC"/>
    <w:rsid w:val="00C6352F"/>
    <w:rsid w:val="00C67B41"/>
    <w:rsid w:val="00C67E91"/>
    <w:rsid w:val="00C75702"/>
    <w:rsid w:val="00C76295"/>
    <w:rsid w:val="00C77035"/>
    <w:rsid w:val="00C773D2"/>
    <w:rsid w:val="00C77EB1"/>
    <w:rsid w:val="00C80B4C"/>
    <w:rsid w:val="00C819B1"/>
    <w:rsid w:val="00C819EA"/>
    <w:rsid w:val="00C82E4A"/>
    <w:rsid w:val="00C83593"/>
    <w:rsid w:val="00C83B83"/>
    <w:rsid w:val="00C846D4"/>
    <w:rsid w:val="00C84D2D"/>
    <w:rsid w:val="00C85594"/>
    <w:rsid w:val="00C876D3"/>
    <w:rsid w:val="00C9070F"/>
    <w:rsid w:val="00C92042"/>
    <w:rsid w:val="00C924CB"/>
    <w:rsid w:val="00C93C3E"/>
    <w:rsid w:val="00C946CC"/>
    <w:rsid w:val="00C95B26"/>
    <w:rsid w:val="00C96A3D"/>
    <w:rsid w:val="00C96CD8"/>
    <w:rsid w:val="00C97339"/>
    <w:rsid w:val="00C979DA"/>
    <w:rsid w:val="00C97FF5"/>
    <w:rsid w:val="00CA2C3A"/>
    <w:rsid w:val="00CA2CA3"/>
    <w:rsid w:val="00CA5041"/>
    <w:rsid w:val="00CA7892"/>
    <w:rsid w:val="00CB0CEA"/>
    <w:rsid w:val="00CB0F6B"/>
    <w:rsid w:val="00CB2157"/>
    <w:rsid w:val="00CB226E"/>
    <w:rsid w:val="00CB4882"/>
    <w:rsid w:val="00CB574C"/>
    <w:rsid w:val="00CB67FA"/>
    <w:rsid w:val="00CB6893"/>
    <w:rsid w:val="00CB7160"/>
    <w:rsid w:val="00CC00E7"/>
    <w:rsid w:val="00CC066B"/>
    <w:rsid w:val="00CC0FCB"/>
    <w:rsid w:val="00CC3327"/>
    <w:rsid w:val="00CC385D"/>
    <w:rsid w:val="00CC3E17"/>
    <w:rsid w:val="00CC40A4"/>
    <w:rsid w:val="00CC45B7"/>
    <w:rsid w:val="00CC4819"/>
    <w:rsid w:val="00CC4B52"/>
    <w:rsid w:val="00CC53E8"/>
    <w:rsid w:val="00CD0B06"/>
    <w:rsid w:val="00CD0B58"/>
    <w:rsid w:val="00CD19DA"/>
    <w:rsid w:val="00CD1A09"/>
    <w:rsid w:val="00CD3E9F"/>
    <w:rsid w:val="00CD469A"/>
    <w:rsid w:val="00CD5495"/>
    <w:rsid w:val="00CD5A74"/>
    <w:rsid w:val="00CD6BCE"/>
    <w:rsid w:val="00CD6E05"/>
    <w:rsid w:val="00CD70D6"/>
    <w:rsid w:val="00CD75AC"/>
    <w:rsid w:val="00CE2179"/>
    <w:rsid w:val="00CE4A28"/>
    <w:rsid w:val="00CE5BA5"/>
    <w:rsid w:val="00CE5E8A"/>
    <w:rsid w:val="00CE6473"/>
    <w:rsid w:val="00CE66EF"/>
    <w:rsid w:val="00CE6750"/>
    <w:rsid w:val="00CF11E6"/>
    <w:rsid w:val="00CF1201"/>
    <w:rsid w:val="00CF3C78"/>
    <w:rsid w:val="00CF3F8D"/>
    <w:rsid w:val="00CF4363"/>
    <w:rsid w:val="00CF7277"/>
    <w:rsid w:val="00D01C68"/>
    <w:rsid w:val="00D032A7"/>
    <w:rsid w:val="00D05C88"/>
    <w:rsid w:val="00D07E27"/>
    <w:rsid w:val="00D10270"/>
    <w:rsid w:val="00D10C9B"/>
    <w:rsid w:val="00D11F5E"/>
    <w:rsid w:val="00D135F4"/>
    <w:rsid w:val="00D14E3D"/>
    <w:rsid w:val="00D14FCE"/>
    <w:rsid w:val="00D176AC"/>
    <w:rsid w:val="00D22E0D"/>
    <w:rsid w:val="00D22FEB"/>
    <w:rsid w:val="00D23B05"/>
    <w:rsid w:val="00D27259"/>
    <w:rsid w:val="00D27D3E"/>
    <w:rsid w:val="00D30F71"/>
    <w:rsid w:val="00D31A5E"/>
    <w:rsid w:val="00D32D7C"/>
    <w:rsid w:val="00D349BC"/>
    <w:rsid w:val="00D34D7C"/>
    <w:rsid w:val="00D35168"/>
    <w:rsid w:val="00D36FC3"/>
    <w:rsid w:val="00D37C1E"/>
    <w:rsid w:val="00D40288"/>
    <w:rsid w:val="00D4065F"/>
    <w:rsid w:val="00D4199C"/>
    <w:rsid w:val="00D41D03"/>
    <w:rsid w:val="00D4232C"/>
    <w:rsid w:val="00D4377C"/>
    <w:rsid w:val="00D439F1"/>
    <w:rsid w:val="00D43F9B"/>
    <w:rsid w:val="00D441D5"/>
    <w:rsid w:val="00D460DF"/>
    <w:rsid w:val="00D46B67"/>
    <w:rsid w:val="00D46D9E"/>
    <w:rsid w:val="00D46EB8"/>
    <w:rsid w:val="00D471BE"/>
    <w:rsid w:val="00D4730A"/>
    <w:rsid w:val="00D5060F"/>
    <w:rsid w:val="00D50FE0"/>
    <w:rsid w:val="00D527FC"/>
    <w:rsid w:val="00D55680"/>
    <w:rsid w:val="00D56CE6"/>
    <w:rsid w:val="00D61DE2"/>
    <w:rsid w:val="00D6435E"/>
    <w:rsid w:val="00D65579"/>
    <w:rsid w:val="00D65B8F"/>
    <w:rsid w:val="00D6624E"/>
    <w:rsid w:val="00D676ED"/>
    <w:rsid w:val="00D72AA3"/>
    <w:rsid w:val="00D746A6"/>
    <w:rsid w:val="00D75059"/>
    <w:rsid w:val="00D761D6"/>
    <w:rsid w:val="00D76940"/>
    <w:rsid w:val="00D77281"/>
    <w:rsid w:val="00D81D74"/>
    <w:rsid w:val="00D82206"/>
    <w:rsid w:val="00D82344"/>
    <w:rsid w:val="00D8298C"/>
    <w:rsid w:val="00D83014"/>
    <w:rsid w:val="00D85F18"/>
    <w:rsid w:val="00D86780"/>
    <w:rsid w:val="00D86F41"/>
    <w:rsid w:val="00D87DA5"/>
    <w:rsid w:val="00D87F54"/>
    <w:rsid w:val="00D90AE1"/>
    <w:rsid w:val="00D91333"/>
    <w:rsid w:val="00D937A8"/>
    <w:rsid w:val="00D944C8"/>
    <w:rsid w:val="00D9774B"/>
    <w:rsid w:val="00DA0D35"/>
    <w:rsid w:val="00DA1FCA"/>
    <w:rsid w:val="00DB062E"/>
    <w:rsid w:val="00DB082C"/>
    <w:rsid w:val="00DB194C"/>
    <w:rsid w:val="00DB3FB3"/>
    <w:rsid w:val="00DB4ACD"/>
    <w:rsid w:val="00DB6141"/>
    <w:rsid w:val="00DB6F2A"/>
    <w:rsid w:val="00DB79F3"/>
    <w:rsid w:val="00DC04E4"/>
    <w:rsid w:val="00DC0750"/>
    <w:rsid w:val="00DC1E4A"/>
    <w:rsid w:val="00DC289D"/>
    <w:rsid w:val="00DC42E4"/>
    <w:rsid w:val="00DC55FE"/>
    <w:rsid w:val="00DC5D86"/>
    <w:rsid w:val="00DC6DD9"/>
    <w:rsid w:val="00DC7914"/>
    <w:rsid w:val="00DC7C7A"/>
    <w:rsid w:val="00DC7DD6"/>
    <w:rsid w:val="00DD0783"/>
    <w:rsid w:val="00DD152E"/>
    <w:rsid w:val="00DD24E2"/>
    <w:rsid w:val="00DD28C5"/>
    <w:rsid w:val="00DD3F9C"/>
    <w:rsid w:val="00DD61FF"/>
    <w:rsid w:val="00DD6C0E"/>
    <w:rsid w:val="00DD7C60"/>
    <w:rsid w:val="00DE2395"/>
    <w:rsid w:val="00DE3BE7"/>
    <w:rsid w:val="00DE6A02"/>
    <w:rsid w:val="00DF2EDA"/>
    <w:rsid w:val="00DF38A9"/>
    <w:rsid w:val="00DF6367"/>
    <w:rsid w:val="00DF68C3"/>
    <w:rsid w:val="00DF70EF"/>
    <w:rsid w:val="00DF7168"/>
    <w:rsid w:val="00E00EA4"/>
    <w:rsid w:val="00E01890"/>
    <w:rsid w:val="00E02A45"/>
    <w:rsid w:val="00E02C0A"/>
    <w:rsid w:val="00E051D3"/>
    <w:rsid w:val="00E059C8"/>
    <w:rsid w:val="00E063EF"/>
    <w:rsid w:val="00E06CDE"/>
    <w:rsid w:val="00E0767E"/>
    <w:rsid w:val="00E07B79"/>
    <w:rsid w:val="00E10DC3"/>
    <w:rsid w:val="00E129DD"/>
    <w:rsid w:val="00E12EBD"/>
    <w:rsid w:val="00E136EF"/>
    <w:rsid w:val="00E15927"/>
    <w:rsid w:val="00E15A61"/>
    <w:rsid w:val="00E16019"/>
    <w:rsid w:val="00E16B28"/>
    <w:rsid w:val="00E174CF"/>
    <w:rsid w:val="00E21465"/>
    <w:rsid w:val="00E22A9E"/>
    <w:rsid w:val="00E23CBA"/>
    <w:rsid w:val="00E2611E"/>
    <w:rsid w:val="00E26832"/>
    <w:rsid w:val="00E26D8B"/>
    <w:rsid w:val="00E2759F"/>
    <w:rsid w:val="00E276B2"/>
    <w:rsid w:val="00E30AFB"/>
    <w:rsid w:val="00E30CA4"/>
    <w:rsid w:val="00E333B9"/>
    <w:rsid w:val="00E34798"/>
    <w:rsid w:val="00E3563B"/>
    <w:rsid w:val="00E37AA4"/>
    <w:rsid w:val="00E37F3C"/>
    <w:rsid w:val="00E407A9"/>
    <w:rsid w:val="00E4273E"/>
    <w:rsid w:val="00E434FC"/>
    <w:rsid w:val="00E44468"/>
    <w:rsid w:val="00E4519F"/>
    <w:rsid w:val="00E4529E"/>
    <w:rsid w:val="00E454A7"/>
    <w:rsid w:val="00E454CA"/>
    <w:rsid w:val="00E471AD"/>
    <w:rsid w:val="00E479C1"/>
    <w:rsid w:val="00E503F0"/>
    <w:rsid w:val="00E51EF7"/>
    <w:rsid w:val="00E52385"/>
    <w:rsid w:val="00E52452"/>
    <w:rsid w:val="00E53FFD"/>
    <w:rsid w:val="00E570A7"/>
    <w:rsid w:val="00E57270"/>
    <w:rsid w:val="00E60085"/>
    <w:rsid w:val="00E601FB"/>
    <w:rsid w:val="00E62104"/>
    <w:rsid w:val="00E62ACA"/>
    <w:rsid w:val="00E62B3D"/>
    <w:rsid w:val="00E64188"/>
    <w:rsid w:val="00E64820"/>
    <w:rsid w:val="00E64A36"/>
    <w:rsid w:val="00E65ECB"/>
    <w:rsid w:val="00E6619E"/>
    <w:rsid w:val="00E6634B"/>
    <w:rsid w:val="00E67A31"/>
    <w:rsid w:val="00E73709"/>
    <w:rsid w:val="00E77F0A"/>
    <w:rsid w:val="00E837E0"/>
    <w:rsid w:val="00E83D48"/>
    <w:rsid w:val="00E84040"/>
    <w:rsid w:val="00E844DD"/>
    <w:rsid w:val="00E84EB8"/>
    <w:rsid w:val="00E867F1"/>
    <w:rsid w:val="00E870B2"/>
    <w:rsid w:val="00E90012"/>
    <w:rsid w:val="00E90741"/>
    <w:rsid w:val="00E91DAB"/>
    <w:rsid w:val="00E92789"/>
    <w:rsid w:val="00E92BDB"/>
    <w:rsid w:val="00E9346A"/>
    <w:rsid w:val="00E93CB5"/>
    <w:rsid w:val="00E93E35"/>
    <w:rsid w:val="00E96111"/>
    <w:rsid w:val="00E97772"/>
    <w:rsid w:val="00EA1708"/>
    <w:rsid w:val="00EA175C"/>
    <w:rsid w:val="00EA1913"/>
    <w:rsid w:val="00EA4299"/>
    <w:rsid w:val="00EA4E10"/>
    <w:rsid w:val="00EA4E22"/>
    <w:rsid w:val="00EA53EA"/>
    <w:rsid w:val="00EA5EAE"/>
    <w:rsid w:val="00EB190E"/>
    <w:rsid w:val="00EB3507"/>
    <w:rsid w:val="00EB61E0"/>
    <w:rsid w:val="00EB7047"/>
    <w:rsid w:val="00EB73C7"/>
    <w:rsid w:val="00EB750A"/>
    <w:rsid w:val="00EC0273"/>
    <w:rsid w:val="00EC2BC3"/>
    <w:rsid w:val="00EC2D25"/>
    <w:rsid w:val="00EC325D"/>
    <w:rsid w:val="00EC5A81"/>
    <w:rsid w:val="00EC5B7E"/>
    <w:rsid w:val="00EC62A3"/>
    <w:rsid w:val="00EC6BB8"/>
    <w:rsid w:val="00EC70B5"/>
    <w:rsid w:val="00ED0E68"/>
    <w:rsid w:val="00ED4E92"/>
    <w:rsid w:val="00ED5741"/>
    <w:rsid w:val="00ED617F"/>
    <w:rsid w:val="00ED7050"/>
    <w:rsid w:val="00EE1009"/>
    <w:rsid w:val="00EE16CF"/>
    <w:rsid w:val="00EE2776"/>
    <w:rsid w:val="00EE4EC4"/>
    <w:rsid w:val="00EE53D7"/>
    <w:rsid w:val="00EE5FBD"/>
    <w:rsid w:val="00EE6259"/>
    <w:rsid w:val="00EE6E5E"/>
    <w:rsid w:val="00EF1E4A"/>
    <w:rsid w:val="00EF2188"/>
    <w:rsid w:val="00EF2221"/>
    <w:rsid w:val="00EF4DA6"/>
    <w:rsid w:val="00EF59D6"/>
    <w:rsid w:val="00EF6217"/>
    <w:rsid w:val="00EF7B12"/>
    <w:rsid w:val="00F00B7A"/>
    <w:rsid w:val="00F01C4E"/>
    <w:rsid w:val="00F05354"/>
    <w:rsid w:val="00F058F9"/>
    <w:rsid w:val="00F05F32"/>
    <w:rsid w:val="00F061A1"/>
    <w:rsid w:val="00F07A64"/>
    <w:rsid w:val="00F1444B"/>
    <w:rsid w:val="00F14FFE"/>
    <w:rsid w:val="00F152CF"/>
    <w:rsid w:val="00F172A3"/>
    <w:rsid w:val="00F17396"/>
    <w:rsid w:val="00F20CB1"/>
    <w:rsid w:val="00F224E1"/>
    <w:rsid w:val="00F22600"/>
    <w:rsid w:val="00F233D0"/>
    <w:rsid w:val="00F25881"/>
    <w:rsid w:val="00F25D78"/>
    <w:rsid w:val="00F27814"/>
    <w:rsid w:val="00F30ADD"/>
    <w:rsid w:val="00F31090"/>
    <w:rsid w:val="00F329BB"/>
    <w:rsid w:val="00F3320A"/>
    <w:rsid w:val="00F33708"/>
    <w:rsid w:val="00F33D63"/>
    <w:rsid w:val="00F343C7"/>
    <w:rsid w:val="00F35313"/>
    <w:rsid w:val="00F3597B"/>
    <w:rsid w:val="00F37E0C"/>
    <w:rsid w:val="00F4267F"/>
    <w:rsid w:val="00F42A4C"/>
    <w:rsid w:val="00F442CE"/>
    <w:rsid w:val="00F469AF"/>
    <w:rsid w:val="00F50E05"/>
    <w:rsid w:val="00F512C8"/>
    <w:rsid w:val="00F52FA0"/>
    <w:rsid w:val="00F532CD"/>
    <w:rsid w:val="00F539A8"/>
    <w:rsid w:val="00F56EBD"/>
    <w:rsid w:val="00F576E0"/>
    <w:rsid w:val="00F61ABA"/>
    <w:rsid w:val="00F63295"/>
    <w:rsid w:val="00F63B48"/>
    <w:rsid w:val="00F6522E"/>
    <w:rsid w:val="00F655A2"/>
    <w:rsid w:val="00F666A8"/>
    <w:rsid w:val="00F70AE7"/>
    <w:rsid w:val="00F7128F"/>
    <w:rsid w:val="00F712A7"/>
    <w:rsid w:val="00F719C4"/>
    <w:rsid w:val="00F72008"/>
    <w:rsid w:val="00F72A16"/>
    <w:rsid w:val="00F7473C"/>
    <w:rsid w:val="00F76120"/>
    <w:rsid w:val="00F763A4"/>
    <w:rsid w:val="00F76A8E"/>
    <w:rsid w:val="00F770BD"/>
    <w:rsid w:val="00F77C76"/>
    <w:rsid w:val="00F80DDE"/>
    <w:rsid w:val="00F82E88"/>
    <w:rsid w:val="00F83928"/>
    <w:rsid w:val="00F873AB"/>
    <w:rsid w:val="00F875EB"/>
    <w:rsid w:val="00F876BB"/>
    <w:rsid w:val="00F9200B"/>
    <w:rsid w:val="00F92987"/>
    <w:rsid w:val="00F95EA7"/>
    <w:rsid w:val="00FA036A"/>
    <w:rsid w:val="00FA03BC"/>
    <w:rsid w:val="00FA1661"/>
    <w:rsid w:val="00FA1946"/>
    <w:rsid w:val="00FA5E99"/>
    <w:rsid w:val="00FA6B59"/>
    <w:rsid w:val="00FA6E3F"/>
    <w:rsid w:val="00FA7932"/>
    <w:rsid w:val="00FB0737"/>
    <w:rsid w:val="00FB0F53"/>
    <w:rsid w:val="00FB1683"/>
    <w:rsid w:val="00FB4269"/>
    <w:rsid w:val="00FB4389"/>
    <w:rsid w:val="00FB51BB"/>
    <w:rsid w:val="00FB529E"/>
    <w:rsid w:val="00FB74CD"/>
    <w:rsid w:val="00FB77CB"/>
    <w:rsid w:val="00FC0A48"/>
    <w:rsid w:val="00FC0D7F"/>
    <w:rsid w:val="00FC0DB3"/>
    <w:rsid w:val="00FC1CCE"/>
    <w:rsid w:val="00FC32A9"/>
    <w:rsid w:val="00FC5685"/>
    <w:rsid w:val="00FC74A6"/>
    <w:rsid w:val="00FC759C"/>
    <w:rsid w:val="00FD30EA"/>
    <w:rsid w:val="00FD359C"/>
    <w:rsid w:val="00FD37D8"/>
    <w:rsid w:val="00FD3BAC"/>
    <w:rsid w:val="00FD3C1A"/>
    <w:rsid w:val="00FD6832"/>
    <w:rsid w:val="00FE4328"/>
    <w:rsid w:val="00FE5FB4"/>
    <w:rsid w:val="00FE729A"/>
    <w:rsid w:val="00FE74F3"/>
    <w:rsid w:val="00FE7919"/>
    <w:rsid w:val="00FF67A5"/>
    <w:rsid w:val="016F6975"/>
    <w:rsid w:val="01970786"/>
    <w:rsid w:val="02C44062"/>
    <w:rsid w:val="03AD7E91"/>
    <w:rsid w:val="06B562A5"/>
    <w:rsid w:val="0A0B1F45"/>
    <w:rsid w:val="0B7E066E"/>
    <w:rsid w:val="0C2C0931"/>
    <w:rsid w:val="0DE368A9"/>
    <w:rsid w:val="0F590D07"/>
    <w:rsid w:val="12FA1737"/>
    <w:rsid w:val="13226522"/>
    <w:rsid w:val="17702551"/>
    <w:rsid w:val="17B261C3"/>
    <w:rsid w:val="1893350D"/>
    <w:rsid w:val="19EB700B"/>
    <w:rsid w:val="1EE75502"/>
    <w:rsid w:val="1EF9472F"/>
    <w:rsid w:val="1F7B7421"/>
    <w:rsid w:val="1FE56BE5"/>
    <w:rsid w:val="1FEF0D59"/>
    <w:rsid w:val="22662BCE"/>
    <w:rsid w:val="23280B99"/>
    <w:rsid w:val="261C180A"/>
    <w:rsid w:val="27B33E9A"/>
    <w:rsid w:val="2C7714C5"/>
    <w:rsid w:val="2CC83C8F"/>
    <w:rsid w:val="2CEC2842"/>
    <w:rsid w:val="2E3660EC"/>
    <w:rsid w:val="2EA4542C"/>
    <w:rsid w:val="2ECB3D89"/>
    <w:rsid w:val="2F915FCF"/>
    <w:rsid w:val="300F25F5"/>
    <w:rsid w:val="30906354"/>
    <w:rsid w:val="32C913ED"/>
    <w:rsid w:val="367E5E7B"/>
    <w:rsid w:val="36D4178E"/>
    <w:rsid w:val="38083934"/>
    <w:rsid w:val="38406A54"/>
    <w:rsid w:val="38A45B03"/>
    <w:rsid w:val="39224B7C"/>
    <w:rsid w:val="39CE5A05"/>
    <w:rsid w:val="3C971DDA"/>
    <w:rsid w:val="3DEF5DA2"/>
    <w:rsid w:val="40FB1708"/>
    <w:rsid w:val="436877C0"/>
    <w:rsid w:val="43DD5601"/>
    <w:rsid w:val="4C6E0A2C"/>
    <w:rsid w:val="4CB774DB"/>
    <w:rsid w:val="4DA52D19"/>
    <w:rsid w:val="50AA4DDB"/>
    <w:rsid w:val="517A44F7"/>
    <w:rsid w:val="54290BB3"/>
    <w:rsid w:val="5436079D"/>
    <w:rsid w:val="549653AB"/>
    <w:rsid w:val="5626410A"/>
    <w:rsid w:val="57797A86"/>
    <w:rsid w:val="5877536E"/>
    <w:rsid w:val="5D306A48"/>
    <w:rsid w:val="5E4A1F3F"/>
    <w:rsid w:val="5F06183E"/>
    <w:rsid w:val="5F1641F0"/>
    <w:rsid w:val="5F3335E4"/>
    <w:rsid w:val="618B2565"/>
    <w:rsid w:val="61E95EAC"/>
    <w:rsid w:val="65183221"/>
    <w:rsid w:val="65632164"/>
    <w:rsid w:val="65826A5D"/>
    <w:rsid w:val="67A15461"/>
    <w:rsid w:val="67AA2640"/>
    <w:rsid w:val="6AF043FD"/>
    <w:rsid w:val="6B714493"/>
    <w:rsid w:val="6BA73AB0"/>
    <w:rsid w:val="6DDE74CB"/>
    <w:rsid w:val="6E940BEB"/>
    <w:rsid w:val="748C2B0D"/>
    <w:rsid w:val="76A47548"/>
    <w:rsid w:val="76BB79B9"/>
    <w:rsid w:val="77636A62"/>
    <w:rsid w:val="7AEF309B"/>
    <w:rsid w:val="7B4A339B"/>
    <w:rsid w:val="7CD85A38"/>
    <w:rsid w:val="7DAF6EBD"/>
    <w:rsid w:val="7DEF21B9"/>
    <w:rsid w:val="7F745829"/>
    <w:rsid w:val="7FFB2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20" w:firstLineChars="200"/>
    </w:pPr>
    <w:rPr>
      <w:rFonts w:ascii="Times New Roman" w:hAnsi="Times New Roman" w:eastAsia="仿宋" w:cstheme="minorBidi"/>
      <w:kern w:val="2"/>
      <w:sz w:val="28"/>
      <w:szCs w:val="24"/>
      <w:lang w:val="en-US" w:eastAsia="zh-CN" w:bidi="ar-SA"/>
    </w:rPr>
  </w:style>
  <w:style w:type="paragraph" w:styleId="3">
    <w:name w:val="heading 1"/>
    <w:basedOn w:val="1"/>
    <w:next w:val="1"/>
    <w:link w:val="47"/>
    <w:qFormat/>
    <w:uiPriority w:val="0"/>
    <w:pPr>
      <w:keepNext/>
      <w:keepLines/>
      <w:numPr>
        <w:ilvl w:val="0"/>
        <w:numId w:val="1"/>
      </w:numPr>
      <w:spacing w:line="600" w:lineRule="exact"/>
      <w:ind w:left="0" w:firstLineChars="0"/>
      <w:jc w:val="center"/>
      <w:outlineLvl w:val="0"/>
    </w:pPr>
    <w:rPr>
      <w:rFonts w:ascii="宋体" w:eastAsia="黑体" w:cs="宋体"/>
      <w:bCs/>
      <w:kern w:val="0"/>
      <w:sz w:val="32"/>
      <w:szCs w:val="28"/>
    </w:rPr>
  </w:style>
  <w:style w:type="paragraph" w:styleId="4">
    <w:name w:val="heading 2"/>
    <w:basedOn w:val="1"/>
    <w:next w:val="1"/>
    <w:link w:val="70"/>
    <w:qFormat/>
    <w:uiPriority w:val="0"/>
    <w:pPr>
      <w:keepNext/>
      <w:keepLines/>
      <w:numPr>
        <w:ilvl w:val="1"/>
        <w:numId w:val="1"/>
      </w:numPr>
      <w:spacing w:line="600" w:lineRule="exact"/>
      <w:ind w:left="0" w:firstLineChars="0"/>
      <w:outlineLvl w:val="1"/>
    </w:pPr>
    <w:rPr>
      <w:b/>
      <w:bCs/>
      <w:w w:val="105"/>
      <w:sz w:val="32"/>
      <w:szCs w:val="32"/>
    </w:rPr>
  </w:style>
  <w:style w:type="paragraph" w:styleId="5">
    <w:name w:val="heading 3"/>
    <w:basedOn w:val="1"/>
    <w:next w:val="1"/>
    <w:link w:val="73"/>
    <w:qFormat/>
    <w:uiPriority w:val="0"/>
    <w:pPr>
      <w:keepNext/>
      <w:keepLines/>
      <w:numPr>
        <w:ilvl w:val="2"/>
        <w:numId w:val="1"/>
      </w:numPr>
      <w:spacing w:line="600" w:lineRule="exact"/>
      <w:ind w:left="0" w:firstLine="0" w:firstLineChars="0"/>
      <w:outlineLvl w:val="2"/>
    </w:pPr>
    <w:rPr>
      <w:b/>
      <w:bCs/>
      <w:snapToGrid w:val="0"/>
      <w:kern w:val="0"/>
      <w:sz w:val="32"/>
      <w:szCs w:val="32"/>
    </w:rPr>
  </w:style>
  <w:style w:type="paragraph" w:styleId="6">
    <w:name w:val="heading 4"/>
    <w:next w:val="1"/>
    <w:link w:val="69"/>
    <w:unhideWhenUsed/>
    <w:qFormat/>
    <w:uiPriority w:val="0"/>
    <w:pPr>
      <w:keepNext/>
      <w:keepLines/>
      <w:numPr>
        <w:ilvl w:val="3"/>
        <w:numId w:val="1"/>
      </w:numPr>
      <w:adjustRightInd w:val="0"/>
      <w:snapToGrid w:val="0"/>
      <w:spacing w:line="600" w:lineRule="exact"/>
      <w:ind w:left="0" w:firstLine="0"/>
      <w:outlineLvl w:val="3"/>
    </w:pPr>
    <w:rPr>
      <w:rFonts w:ascii="Arial" w:hAnsi="Arial" w:eastAsia="仿宋" w:cs="Times New Roman"/>
      <w:b/>
      <w:sz w:val="32"/>
      <w:lang w:val="en-US" w:eastAsia="zh-CN" w:bidi="ar-SA"/>
    </w:rPr>
  </w:style>
  <w:style w:type="paragraph" w:styleId="7">
    <w:name w:val="heading 5"/>
    <w:basedOn w:val="1"/>
    <w:next w:val="1"/>
    <w:unhideWhenUsed/>
    <w:qFormat/>
    <w:uiPriority w:val="0"/>
    <w:pPr>
      <w:keepNext/>
      <w:keepLines/>
      <w:numPr>
        <w:ilvl w:val="4"/>
        <w:numId w:val="1"/>
      </w:numPr>
      <w:spacing w:before="280" w:after="290" w:line="372" w:lineRule="auto"/>
      <w:ind w:firstLine="0" w:firstLineChars="0"/>
      <w:outlineLvl w:val="4"/>
    </w:pPr>
    <w:rPr>
      <w:b/>
    </w:rPr>
  </w:style>
  <w:style w:type="paragraph" w:styleId="8">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Body Text Indent 2"/>
    <w:basedOn w:val="1"/>
    <w:next w:val="1"/>
    <w:link w:val="46"/>
    <w:qFormat/>
    <w:uiPriority w:val="99"/>
    <w:pPr>
      <w:spacing w:after="120" w:line="480" w:lineRule="auto"/>
      <w:ind w:left="420" w:leftChars="200"/>
    </w:pPr>
  </w:style>
  <w:style w:type="paragraph" w:styleId="12">
    <w:name w:val="Normal Indent"/>
    <w:basedOn w:val="1"/>
    <w:qFormat/>
    <w:uiPriority w:val="0"/>
    <w:pPr>
      <w:spacing w:line="240" w:lineRule="auto"/>
      <w:ind w:firstLine="0" w:firstLineChars="0"/>
      <w:jc w:val="both"/>
    </w:pPr>
    <w:rPr>
      <w:rFonts w:ascii="仿宋_GB2312" w:eastAsia="宋体"/>
      <w:sz w:val="21"/>
      <w:szCs w:val="20"/>
    </w:rPr>
  </w:style>
  <w:style w:type="paragraph" w:styleId="13">
    <w:name w:val="caption"/>
    <w:basedOn w:val="1"/>
    <w:next w:val="1"/>
    <w:unhideWhenUsed/>
    <w:qFormat/>
    <w:uiPriority w:val="0"/>
    <w:pPr>
      <w:spacing w:before="100" w:beforeLines="100" w:after="100" w:afterLines="100" w:line="240" w:lineRule="auto"/>
      <w:ind w:firstLine="0" w:firstLineChars="0"/>
      <w:jc w:val="center"/>
    </w:pPr>
    <w:rPr>
      <w:rFonts w:eastAsia="宋体"/>
      <w:b/>
      <w:sz w:val="24"/>
    </w:rPr>
  </w:style>
  <w:style w:type="paragraph" w:styleId="14">
    <w:name w:val="annotation text"/>
    <w:basedOn w:val="1"/>
    <w:link w:val="60"/>
    <w:uiPriority w:val="0"/>
  </w:style>
  <w:style w:type="paragraph" w:styleId="15">
    <w:name w:val="Body Text"/>
    <w:basedOn w:val="1"/>
    <w:link w:val="63"/>
    <w:qFormat/>
    <w:uiPriority w:val="0"/>
    <w:pPr>
      <w:ind w:firstLine="520"/>
    </w:pPr>
    <w:rPr>
      <w:rFonts w:eastAsia="仿宋_GB2312"/>
      <w:spacing w:val="-10"/>
      <w:szCs w:val="28"/>
    </w:rPr>
  </w:style>
  <w:style w:type="paragraph" w:styleId="16">
    <w:name w:val="Body Text Indent"/>
    <w:basedOn w:val="1"/>
    <w:link w:val="75"/>
    <w:qFormat/>
    <w:uiPriority w:val="0"/>
    <w:pPr>
      <w:spacing w:after="120"/>
      <w:ind w:left="420" w:leftChars="200"/>
    </w:pPr>
  </w:style>
  <w:style w:type="paragraph" w:styleId="17">
    <w:name w:val="toc 3"/>
    <w:basedOn w:val="1"/>
    <w:next w:val="1"/>
    <w:qFormat/>
    <w:uiPriority w:val="0"/>
    <w:pPr>
      <w:ind w:left="560" w:leftChars="200" w:firstLine="0" w:firstLineChars="0"/>
    </w:pPr>
  </w:style>
  <w:style w:type="paragraph" w:styleId="18">
    <w:name w:val="Date"/>
    <w:basedOn w:val="1"/>
    <w:next w:val="1"/>
    <w:link w:val="59"/>
    <w:uiPriority w:val="0"/>
    <w:pPr>
      <w:ind w:left="100" w:leftChars="2500"/>
    </w:pPr>
  </w:style>
  <w:style w:type="paragraph" w:styleId="19">
    <w:name w:val="endnote text"/>
    <w:basedOn w:val="1"/>
    <w:link w:val="77"/>
    <w:qFormat/>
    <w:uiPriority w:val="0"/>
  </w:style>
  <w:style w:type="paragraph" w:styleId="20">
    <w:name w:val="Balloon Text"/>
    <w:basedOn w:val="1"/>
    <w:link w:val="62"/>
    <w:uiPriority w:val="0"/>
    <w:pPr>
      <w:spacing w:line="240" w:lineRule="auto"/>
    </w:pPr>
    <w:rPr>
      <w:sz w:val="18"/>
      <w:szCs w:val="18"/>
    </w:rPr>
  </w:style>
  <w:style w:type="paragraph" w:styleId="21">
    <w:name w:val="footer"/>
    <w:basedOn w:val="1"/>
    <w:link w:val="74"/>
    <w:qFormat/>
    <w:uiPriority w:val="99"/>
    <w:pPr>
      <w:tabs>
        <w:tab w:val="center" w:pos="4153"/>
        <w:tab w:val="right" w:pos="8306"/>
      </w:tabs>
    </w:pPr>
    <w:rPr>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both"/>
    </w:pPr>
    <w:rPr>
      <w:sz w:val="18"/>
    </w:rPr>
  </w:style>
  <w:style w:type="paragraph" w:styleId="23">
    <w:name w:val="toc 1"/>
    <w:basedOn w:val="1"/>
    <w:next w:val="1"/>
    <w:qFormat/>
    <w:uiPriority w:val="39"/>
    <w:pPr>
      <w:ind w:firstLine="0" w:firstLineChars="0"/>
    </w:pPr>
  </w:style>
  <w:style w:type="paragraph" w:styleId="24">
    <w:name w:val="toc 4"/>
    <w:basedOn w:val="1"/>
    <w:next w:val="1"/>
    <w:qFormat/>
    <w:uiPriority w:val="0"/>
    <w:pPr>
      <w:ind w:left="840" w:leftChars="300" w:firstLine="0" w:firstLineChars="0"/>
    </w:pPr>
  </w:style>
  <w:style w:type="paragraph" w:styleId="25">
    <w:name w:val="footnote text"/>
    <w:basedOn w:val="1"/>
    <w:link w:val="58"/>
    <w:qFormat/>
    <w:uiPriority w:val="0"/>
    <w:rPr>
      <w:sz w:val="18"/>
    </w:rPr>
  </w:style>
  <w:style w:type="paragraph" w:styleId="26">
    <w:name w:val="toc 2"/>
    <w:basedOn w:val="1"/>
    <w:next w:val="1"/>
    <w:qFormat/>
    <w:uiPriority w:val="39"/>
    <w:pPr>
      <w:ind w:left="280" w:leftChars="100" w:firstLine="0" w:firstLineChars="0"/>
    </w:pPr>
  </w:style>
  <w:style w:type="paragraph" w:styleId="27">
    <w:name w:val="Normal (Web)"/>
    <w:basedOn w:val="1"/>
    <w:qFormat/>
    <w:uiPriority w:val="0"/>
    <w:pPr>
      <w:spacing w:beforeAutospacing="1" w:afterAutospacing="1"/>
    </w:pPr>
    <w:rPr>
      <w:rFonts w:cs="Times New Roman"/>
      <w:kern w:val="0"/>
      <w:sz w:val="24"/>
    </w:rPr>
  </w:style>
  <w:style w:type="paragraph" w:styleId="28">
    <w:name w:val="annotation subject"/>
    <w:basedOn w:val="14"/>
    <w:next w:val="14"/>
    <w:link w:val="61"/>
    <w:uiPriority w:val="0"/>
    <w:rPr>
      <w:b/>
      <w:bC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endnote reference"/>
    <w:basedOn w:val="31"/>
    <w:qFormat/>
    <w:uiPriority w:val="0"/>
    <w:rPr>
      <w:vertAlign w:val="superscript"/>
    </w:rPr>
  </w:style>
  <w:style w:type="character" w:styleId="34">
    <w:name w:val="page number"/>
    <w:basedOn w:val="31"/>
    <w:qFormat/>
    <w:uiPriority w:val="0"/>
  </w:style>
  <w:style w:type="character" w:styleId="35">
    <w:name w:val="FollowedHyperlink"/>
    <w:basedOn w:val="31"/>
    <w:qFormat/>
    <w:uiPriority w:val="99"/>
    <w:rPr>
      <w:color w:val="60636D"/>
      <w:u w:val="none"/>
    </w:rPr>
  </w:style>
  <w:style w:type="character" w:styleId="36">
    <w:name w:val="Emphasis"/>
    <w:basedOn w:val="31"/>
    <w:qFormat/>
    <w:uiPriority w:val="0"/>
  </w:style>
  <w:style w:type="character" w:styleId="37">
    <w:name w:val="HTML Definition"/>
    <w:basedOn w:val="31"/>
    <w:qFormat/>
    <w:uiPriority w:val="0"/>
  </w:style>
  <w:style w:type="character" w:styleId="38">
    <w:name w:val="HTML Variable"/>
    <w:basedOn w:val="31"/>
    <w:qFormat/>
    <w:uiPriority w:val="0"/>
  </w:style>
  <w:style w:type="character" w:styleId="39">
    <w:name w:val="Hyperlink"/>
    <w:basedOn w:val="31"/>
    <w:qFormat/>
    <w:uiPriority w:val="99"/>
    <w:rPr>
      <w:color w:val="60636D"/>
      <w:u w:val="none"/>
    </w:rPr>
  </w:style>
  <w:style w:type="character" w:styleId="40">
    <w:name w:val="HTML Code"/>
    <w:basedOn w:val="31"/>
    <w:qFormat/>
    <w:uiPriority w:val="0"/>
    <w:rPr>
      <w:rFonts w:ascii="Courier New" w:hAnsi="Courier New"/>
      <w:sz w:val="20"/>
    </w:rPr>
  </w:style>
  <w:style w:type="character" w:styleId="41">
    <w:name w:val="annotation reference"/>
    <w:basedOn w:val="31"/>
    <w:uiPriority w:val="0"/>
    <w:rPr>
      <w:sz w:val="21"/>
      <w:szCs w:val="21"/>
    </w:rPr>
  </w:style>
  <w:style w:type="character" w:styleId="42">
    <w:name w:val="HTML Cite"/>
    <w:basedOn w:val="31"/>
    <w:qFormat/>
    <w:uiPriority w:val="0"/>
  </w:style>
  <w:style w:type="character" w:styleId="43">
    <w:name w:val="footnote reference"/>
    <w:basedOn w:val="31"/>
    <w:qFormat/>
    <w:uiPriority w:val="0"/>
    <w:rPr>
      <w:rFonts w:ascii="Arial" w:hAnsi="Arial" w:eastAsia="宋体"/>
      <w:sz w:val="18"/>
      <w:vertAlign w:val="superscript"/>
    </w:rPr>
  </w:style>
  <w:style w:type="character" w:styleId="44">
    <w:name w:val="HTML Keyboard"/>
    <w:basedOn w:val="31"/>
    <w:qFormat/>
    <w:uiPriority w:val="0"/>
    <w:rPr>
      <w:rFonts w:ascii="Courier New" w:hAnsi="Courier New"/>
      <w:sz w:val="20"/>
    </w:rPr>
  </w:style>
  <w:style w:type="character" w:styleId="45">
    <w:name w:val="HTML Sample"/>
    <w:basedOn w:val="31"/>
    <w:qFormat/>
    <w:uiPriority w:val="0"/>
    <w:rPr>
      <w:rFonts w:ascii="Courier New" w:hAnsi="Courier New"/>
    </w:rPr>
  </w:style>
  <w:style w:type="character" w:customStyle="1" w:styleId="46">
    <w:name w:val="正文文本缩进 2 字符"/>
    <w:basedOn w:val="31"/>
    <w:link w:val="2"/>
    <w:uiPriority w:val="99"/>
    <w:rPr>
      <w:rFonts w:eastAsia="仿宋" w:cstheme="minorBidi"/>
      <w:kern w:val="2"/>
      <w:sz w:val="28"/>
      <w:szCs w:val="24"/>
    </w:rPr>
  </w:style>
  <w:style w:type="character" w:customStyle="1" w:styleId="47">
    <w:name w:val="标题 1 字符"/>
    <w:basedOn w:val="31"/>
    <w:link w:val="3"/>
    <w:qFormat/>
    <w:uiPriority w:val="0"/>
    <w:rPr>
      <w:rFonts w:ascii="宋体" w:eastAsia="黑体" w:cs="宋体"/>
      <w:bCs/>
      <w:sz w:val="32"/>
      <w:szCs w:val="28"/>
    </w:rPr>
  </w:style>
  <w:style w:type="paragraph" w:customStyle="1" w:styleId="48">
    <w:name w:val="表格/图片居中"/>
    <w:qFormat/>
    <w:uiPriority w:val="0"/>
    <w:pPr>
      <w:adjustRightInd w:val="0"/>
      <w:snapToGrid w:val="0"/>
      <w:jc w:val="center"/>
    </w:pPr>
    <w:rPr>
      <w:rFonts w:ascii="Times New Roman" w:hAnsi="Times New Roman" w:eastAsia="仿宋_GB2312" w:cs="Times New Roman"/>
      <w:sz w:val="24"/>
      <w:lang w:val="en-US" w:eastAsia="zh-CN" w:bidi="ar-SA"/>
    </w:rPr>
  </w:style>
  <w:style w:type="paragraph" w:customStyle="1" w:styleId="49">
    <w:name w:val="表头/图名左对齐"/>
    <w:basedOn w:val="48"/>
    <w:qFormat/>
    <w:uiPriority w:val="0"/>
    <w:pPr>
      <w:jc w:val="left"/>
    </w:pPr>
    <w:rPr>
      <w:b/>
    </w:rPr>
  </w:style>
  <w:style w:type="paragraph" w:customStyle="1" w:styleId="50">
    <w:name w:val="正文加粗"/>
    <w:basedOn w:val="1"/>
    <w:next w:val="1"/>
    <w:qFormat/>
    <w:uiPriority w:val="0"/>
    <w:rPr>
      <w:b/>
    </w:rPr>
  </w:style>
  <w:style w:type="paragraph" w:customStyle="1" w:styleId="51">
    <w:name w:val="左对齐"/>
    <w:basedOn w:val="1"/>
    <w:next w:val="1"/>
    <w:qFormat/>
    <w:uiPriority w:val="0"/>
    <w:pPr>
      <w:ind w:firstLine="0" w:firstLineChars="0"/>
    </w:pPr>
  </w:style>
  <w:style w:type="paragraph" w:customStyle="1" w:styleId="52">
    <w:name w:val="表格居中"/>
    <w:basedOn w:val="1"/>
    <w:qFormat/>
    <w:uiPriority w:val="0"/>
    <w:pPr>
      <w:spacing w:line="240" w:lineRule="auto"/>
      <w:ind w:firstLine="0" w:firstLineChars="0"/>
      <w:jc w:val="center"/>
    </w:pPr>
    <w:rPr>
      <w:rFonts w:cs="Times New Roman"/>
      <w:color w:val="000000"/>
      <w:sz w:val="21"/>
      <w:szCs w:val="18"/>
    </w:rPr>
  </w:style>
  <w:style w:type="character" w:customStyle="1" w:styleId="53">
    <w:name w:val="表头 Char"/>
    <w:link w:val="54"/>
    <w:qFormat/>
    <w:uiPriority w:val="0"/>
    <w:rPr>
      <w:b/>
      <w:iCs/>
      <w:kern w:val="0"/>
      <w:sz w:val="24"/>
      <w:szCs w:val="20"/>
    </w:rPr>
  </w:style>
  <w:style w:type="paragraph" w:customStyle="1" w:styleId="54">
    <w:name w:val="表头"/>
    <w:basedOn w:val="1"/>
    <w:link w:val="53"/>
    <w:qFormat/>
    <w:uiPriority w:val="0"/>
    <w:pPr>
      <w:widowControl/>
      <w:tabs>
        <w:tab w:val="left" w:pos="960"/>
        <w:tab w:val="left" w:pos="7210"/>
      </w:tabs>
      <w:ind w:firstLine="0" w:firstLineChars="0"/>
    </w:pPr>
    <w:rPr>
      <w:b/>
      <w:iCs/>
      <w:kern w:val="0"/>
      <w:sz w:val="24"/>
      <w:szCs w:val="20"/>
    </w:rPr>
  </w:style>
  <w:style w:type="paragraph" w:customStyle="1" w:styleId="55">
    <w:name w:val="注"/>
    <w:basedOn w:val="51"/>
    <w:next w:val="1"/>
    <w:qFormat/>
    <w:uiPriority w:val="0"/>
    <w:pPr>
      <w:spacing w:line="240" w:lineRule="auto"/>
    </w:pPr>
    <w:rPr>
      <w:b/>
      <w:sz w:val="21"/>
    </w:rPr>
  </w:style>
  <w:style w:type="paragraph" w:customStyle="1" w:styleId="56">
    <w:name w:val="表格五号"/>
    <w:qFormat/>
    <w:uiPriority w:val="0"/>
    <w:pPr>
      <w:adjustRightInd w:val="0"/>
      <w:snapToGrid w:val="0"/>
      <w:jc w:val="center"/>
    </w:pPr>
    <w:rPr>
      <w:rFonts w:ascii="Times New Roman" w:hAnsi="Times New Roman" w:eastAsia="仿宋" w:cs="Times New Roman"/>
      <w:sz w:val="24"/>
      <w:lang w:val="en-US" w:eastAsia="zh-CN" w:bidi="ar-SA"/>
    </w:rPr>
  </w:style>
  <w:style w:type="paragraph" w:styleId="57">
    <w:name w:val="List Paragraph"/>
    <w:basedOn w:val="1"/>
    <w:uiPriority w:val="99"/>
  </w:style>
  <w:style w:type="character" w:customStyle="1" w:styleId="58">
    <w:name w:val="脚注文本 字符"/>
    <w:basedOn w:val="31"/>
    <w:link w:val="25"/>
    <w:uiPriority w:val="0"/>
    <w:rPr>
      <w:rFonts w:eastAsia="仿宋" w:cstheme="minorBidi"/>
      <w:kern w:val="2"/>
      <w:sz w:val="18"/>
      <w:szCs w:val="24"/>
    </w:rPr>
  </w:style>
  <w:style w:type="character" w:customStyle="1" w:styleId="59">
    <w:name w:val="日期 字符"/>
    <w:basedOn w:val="31"/>
    <w:link w:val="18"/>
    <w:uiPriority w:val="0"/>
    <w:rPr>
      <w:rFonts w:eastAsia="仿宋" w:cstheme="minorBidi"/>
      <w:kern w:val="2"/>
      <w:sz w:val="28"/>
      <w:szCs w:val="24"/>
    </w:rPr>
  </w:style>
  <w:style w:type="character" w:customStyle="1" w:styleId="60">
    <w:name w:val="批注文字 字符"/>
    <w:basedOn w:val="31"/>
    <w:link w:val="14"/>
    <w:uiPriority w:val="0"/>
    <w:rPr>
      <w:rFonts w:eastAsia="仿宋" w:cstheme="minorBidi"/>
      <w:kern w:val="2"/>
      <w:sz w:val="28"/>
      <w:szCs w:val="24"/>
    </w:rPr>
  </w:style>
  <w:style w:type="character" w:customStyle="1" w:styleId="61">
    <w:name w:val="批注主题 字符"/>
    <w:basedOn w:val="60"/>
    <w:link w:val="28"/>
    <w:uiPriority w:val="0"/>
    <w:rPr>
      <w:rFonts w:eastAsia="仿宋" w:cstheme="minorBidi"/>
      <w:b/>
      <w:bCs/>
      <w:kern w:val="2"/>
      <w:sz w:val="28"/>
      <w:szCs w:val="24"/>
    </w:rPr>
  </w:style>
  <w:style w:type="character" w:customStyle="1" w:styleId="62">
    <w:name w:val="批注框文本 字符"/>
    <w:basedOn w:val="31"/>
    <w:link w:val="20"/>
    <w:uiPriority w:val="0"/>
    <w:rPr>
      <w:rFonts w:eastAsia="仿宋" w:cstheme="minorBidi"/>
      <w:kern w:val="2"/>
      <w:sz w:val="18"/>
      <w:szCs w:val="18"/>
    </w:rPr>
  </w:style>
  <w:style w:type="character" w:customStyle="1" w:styleId="63">
    <w:name w:val="正文文本 字符"/>
    <w:basedOn w:val="31"/>
    <w:link w:val="15"/>
    <w:uiPriority w:val="0"/>
    <w:rPr>
      <w:rFonts w:eastAsia="仿宋_GB2312" w:cstheme="minorBidi"/>
      <w:spacing w:val="-10"/>
      <w:kern w:val="2"/>
      <w:sz w:val="28"/>
      <w:szCs w:val="28"/>
    </w:rPr>
  </w:style>
  <w:style w:type="paragraph" w:customStyle="1" w:styleId="64">
    <w:name w:val="msonormal"/>
    <w:basedOn w:val="1"/>
    <w:uiPriority w:val="0"/>
    <w:pPr>
      <w:widowControl/>
      <w:adjustRightInd/>
      <w:snapToGrid/>
      <w:spacing w:before="100" w:beforeAutospacing="1" w:after="100" w:afterAutospacing="1" w:line="240" w:lineRule="auto"/>
      <w:ind w:firstLine="0" w:firstLineChars="0"/>
    </w:pPr>
    <w:rPr>
      <w:rFonts w:ascii="宋体" w:hAnsi="宋体" w:eastAsia="宋体" w:cs="宋体"/>
      <w:kern w:val="0"/>
      <w:sz w:val="24"/>
    </w:rPr>
  </w:style>
  <w:style w:type="paragraph" w:customStyle="1" w:styleId="65">
    <w:name w:val="font5"/>
    <w:basedOn w:val="1"/>
    <w:uiPriority w:val="0"/>
    <w:pPr>
      <w:widowControl/>
      <w:adjustRightInd/>
      <w:snapToGrid/>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66">
    <w:name w:val="xl65"/>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67">
    <w:name w:val="xl66"/>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eastAsia="宋体" w:cs="宋体"/>
      <w:b/>
      <w:bCs/>
      <w:kern w:val="0"/>
      <w:sz w:val="24"/>
    </w:rPr>
  </w:style>
  <w:style w:type="paragraph" w:customStyle="1" w:styleId="68">
    <w:name w:val="xl67"/>
    <w:basedOn w:val="1"/>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eastAsia="宋体" w:cs="宋体"/>
      <w:b/>
      <w:bCs/>
      <w:kern w:val="0"/>
      <w:sz w:val="24"/>
    </w:rPr>
  </w:style>
  <w:style w:type="character" w:customStyle="1" w:styleId="69">
    <w:name w:val="标题 4 字符"/>
    <w:basedOn w:val="31"/>
    <w:link w:val="6"/>
    <w:uiPriority w:val="0"/>
    <w:rPr>
      <w:rFonts w:ascii="Arial" w:hAnsi="Arial" w:eastAsia="仿宋"/>
      <w:b/>
      <w:sz w:val="32"/>
    </w:rPr>
  </w:style>
  <w:style w:type="character" w:customStyle="1" w:styleId="70">
    <w:name w:val="标题 2 字符"/>
    <w:basedOn w:val="31"/>
    <w:link w:val="4"/>
    <w:qFormat/>
    <w:uiPriority w:val="0"/>
    <w:rPr>
      <w:rFonts w:eastAsia="仿宋" w:cstheme="minorBidi"/>
      <w:b/>
      <w:bCs/>
      <w:w w:val="105"/>
      <w:kern w:val="2"/>
      <w:sz w:val="32"/>
      <w:szCs w:val="32"/>
    </w:rPr>
  </w:style>
  <w:style w:type="character" w:customStyle="1" w:styleId="71">
    <w:name w:val="font41"/>
    <w:basedOn w:val="31"/>
    <w:qFormat/>
    <w:uiPriority w:val="0"/>
    <w:rPr>
      <w:rFonts w:hint="eastAsia" w:ascii="宋体" w:hAnsi="宋体" w:eastAsia="宋体" w:cs="宋体"/>
      <w:color w:val="000000"/>
      <w:sz w:val="24"/>
      <w:szCs w:val="24"/>
      <w:u w:val="none"/>
      <w:vertAlign w:val="superscript"/>
    </w:rPr>
  </w:style>
  <w:style w:type="character" w:customStyle="1" w:styleId="72">
    <w:name w:val="font31"/>
    <w:basedOn w:val="31"/>
    <w:qFormat/>
    <w:uiPriority w:val="0"/>
    <w:rPr>
      <w:rFonts w:hint="eastAsia" w:ascii="宋体" w:hAnsi="宋体" w:eastAsia="宋体" w:cs="宋体"/>
      <w:color w:val="000000"/>
      <w:sz w:val="24"/>
      <w:szCs w:val="24"/>
      <w:u w:val="none"/>
    </w:rPr>
  </w:style>
  <w:style w:type="character" w:customStyle="1" w:styleId="73">
    <w:name w:val="标题 3 字符"/>
    <w:basedOn w:val="31"/>
    <w:link w:val="5"/>
    <w:qFormat/>
    <w:uiPriority w:val="0"/>
    <w:rPr>
      <w:rFonts w:eastAsia="仿宋" w:cstheme="minorBidi"/>
      <w:b/>
      <w:bCs/>
      <w:snapToGrid w:val="0"/>
      <w:sz w:val="32"/>
      <w:szCs w:val="32"/>
    </w:rPr>
  </w:style>
  <w:style w:type="character" w:customStyle="1" w:styleId="74">
    <w:name w:val="页脚 字符"/>
    <w:basedOn w:val="31"/>
    <w:link w:val="21"/>
    <w:qFormat/>
    <w:uiPriority w:val="99"/>
    <w:rPr>
      <w:rFonts w:eastAsia="仿宋" w:cstheme="minorBidi"/>
      <w:kern w:val="2"/>
      <w:sz w:val="18"/>
      <w:szCs w:val="18"/>
    </w:rPr>
  </w:style>
  <w:style w:type="character" w:customStyle="1" w:styleId="75">
    <w:name w:val="正文文本缩进 字符"/>
    <w:basedOn w:val="31"/>
    <w:link w:val="16"/>
    <w:qFormat/>
    <w:uiPriority w:val="0"/>
    <w:rPr>
      <w:rFonts w:eastAsia="仿宋" w:cstheme="minorBidi"/>
      <w:kern w:val="2"/>
      <w:sz w:val="28"/>
      <w:szCs w:val="24"/>
    </w:rPr>
  </w:style>
  <w:style w:type="character" w:styleId="76">
    <w:name w:val="Placeholder Text"/>
    <w:basedOn w:val="31"/>
    <w:semiHidden/>
    <w:qFormat/>
    <w:uiPriority w:val="99"/>
    <w:rPr>
      <w:color w:val="808080"/>
    </w:rPr>
  </w:style>
  <w:style w:type="character" w:customStyle="1" w:styleId="77">
    <w:name w:val="尾注文本 字符"/>
    <w:basedOn w:val="31"/>
    <w:link w:val="19"/>
    <w:qFormat/>
    <w:uiPriority w:val="0"/>
    <w:rPr>
      <w:rFonts w:eastAsia="仿宋" w:cstheme="minorBidi"/>
      <w:kern w:val="2"/>
      <w:sz w:val="28"/>
      <w:szCs w:val="24"/>
    </w:rPr>
  </w:style>
  <w:style w:type="character" w:customStyle="1" w:styleId="78">
    <w:name w:val="Char Char2"/>
    <w:basedOn w:val="31"/>
    <w:qFormat/>
    <w:uiPriority w:val="0"/>
    <w:rPr>
      <w:rFonts w:ascii="宋体" w:hAnsi="Courier New" w:eastAsia="宋体" w:cs="Courier New"/>
      <w:kern w:val="2"/>
      <w:sz w:val="21"/>
      <w:szCs w:val="21"/>
      <w:lang w:val="en-US" w:eastAsia="zh-CN" w:bidi="ar-SA"/>
    </w:rPr>
  </w:style>
  <w:style w:type="paragraph" w:customStyle="1" w:styleId="79">
    <w:name w:val="默认段落字体 Para Char Char Char Char Char Char Char Char"/>
    <w:basedOn w:val="1"/>
    <w:qFormat/>
    <w:uiPriority w:val="0"/>
    <w:pPr>
      <w:adjustRightInd/>
      <w:snapToGrid/>
      <w:ind w:firstLine="200"/>
    </w:pPr>
    <w:rPr>
      <w:rFonts w:eastAsia="仿宋_GB2312" w:cs="Times New Roman"/>
      <w:sz w:val="24"/>
      <w:szCs w:val="20"/>
    </w:rPr>
  </w:style>
  <w:style w:type="paragraph" w:customStyle="1" w:styleId="80">
    <w:name w:val="6正文李"/>
    <w:basedOn w:val="1"/>
    <w:qFormat/>
    <w:uiPriority w:val="0"/>
    <w:pPr>
      <w:adjustRightInd/>
      <w:snapToGrid/>
      <w:ind w:firstLine="480"/>
    </w:pPr>
    <w:rPr>
      <w:rFonts w:eastAsia="仿宋_GB2312" w:cs="Times New Roman"/>
      <w:sz w:val="24"/>
    </w:rPr>
  </w:style>
  <w:style w:type="paragraph" w:customStyle="1" w:styleId="81">
    <w:name w:val="font6"/>
    <w:basedOn w:val="1"/>
    <w:qFormat/>
    <w:uiPriority w:val="0"/>
    <w:pPr>
      <w:widowControl/>
      <w:adjustRightInd/>
      <w:snapToGrid/>
      <w:spacing w:before="100" w:beforeAutospacing="1" w:after="100" w:afterAutospacing="1" w:line="240" w:lineRule="auto"/>
      <w:ind w:firstLine="0" w:firstLineChars="0"/>
    </w:pPr>
    <w:rPr>
      <w:rFonts w:ascii="宋体" w:hAnsi="宋体" w:eastAsia="宋体" w:cs="宋体"/>
      <w:kern w:val="0"/>
      <w:sz w:val="24"/>
    </w:rPr>
  </w:style>
  <w:style w:type="paragraph" w:customStyle="1" w:styleId="82">
    <w:name w:val="xl63"/>
    <w:basedOn w:val="1"/>
    <w:qFormat/>
    <w:uiPriority w:val="0"/>
    <w:pPr>
      <w:widowControl/>
      <w:adjustRightInd/>
      <w:snapToGrid/>
      <w:spacing w:before="100" w:beforeAutospacing="1" w:after="100" w:afterAutospacing="1" w:line="240" w:lineRule="auto"/>
      <w:ind w:firstLine="0" w:firstLineChars="0"/>
    </w:pPr>
    <w:rPr>
      <w:rFonts w:ascii="宋体" w:hAnsi="宋体" w:eastAsia="宋体" w:cs="宋体"/>
      <w:kern w:val="0"/>
      <w:sz w:val="24"/>
    </w:rPr>
  </w:style>
  <w:style w:type="paragraph" w:customStyle="1" w:styleId="83">
    <w:name w:val="xl6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 w:hAnsi="仿宋" w:cs="宋体"/>
      <w:kern w:val="0"/>
      <w:sz w:val="24"/>
    </w:rPr>
  </w:style>
  <w:style w:type="paragraph" w:customStyle="1" w:styleId="84">
    <w:name w:val="xl6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eastAsia="宋体" w:cs="Times New Roman"/>
      <w:kern w:val="0"/>
      <w:sz w:val="24"/>
    </w:rPr>
  </w:style>
  <w:style w:type="paragraph" w:customStyle="1" w:styleId="85">
    <w:name w:val="xl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 w:hAnsi="仿宋" w:cs="宋体"/>
      <w:kern w:val="0"/>
      <w:sz w:val="24"/>
    </w:rPr>
  </w:style>
  <w:style w:type="paragraph" w:customStyle="1" w:styleId="86">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87">
    <w:name w:val="xl71"/>
    <w:basedOn w:val="1"/>
    <w:qFormat/>
    <w:uiPriority w:val="0"/>
    <w:pPr>
      <w:widowControl/>
      <w:adjustRightInd/>
      <w:snapToGrid/>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88">
    <w:name w:val="xl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71E17-7EFF-436A-8438-D5568C418A3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102</Pages>
  <Words>9150</Words>
  <Characters>52158</Characters>
  <Lines>434</Lines>
  <Paragraphs>122</Paragraphs>
  <TotalTime>18</TotalTime>
  <ScaleCrop>false</ScaleCrop>
  <LinksUpToDate>false</LinksUpToDate>
  <CharactersWithSpaces>61186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2023-03-13T08:00:00Z</dcterms:created>
  <dc:creator>怕习惯</dc:creator>
  <cp:lastModifiedBy>lenovo</cp:lastModifiedBy>
  <cp:lastPrinted>2023-03-13T08:12:00Z</cp:lastPrinted>
  <dcterms:modified xsi:type="dcterms:W3CDTF">2023-04-26T05:45:50Z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EFDBC328B6004744A40E5646E1DCD16E_12</vt:lpwstr>
  </property>
</Properties>
</file>