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100" w:beforeAutospacing="0" w:after="100" w:afterAutospacing="0" w:line="560" w:lineRule="atLeast"/>
        <w:ind w:left="0" w:right="0" w:firstLine="0"/>
        <w:jc w:val="center"/>
        <w:rPr>
          <w:rFonts w:hint="eastAsia" w:ascii="宋体" w:hAnsi="宋体" w:eastAsia="宋体" w:cs="宋体"/>
          <w:i w:val="0"/>
          <w:caps w:val="0"/>
          <w:color w:val="000000"/>
          <w:spacing w:val="0"/>
          <w:sz w:val="21"/>
          <w:szCs w:val="21"/>
        </w:rPr>
      </w:pPr>
      <w:bookmarkStart w:id="0" w:name="_GoBack"/>
      <w:r>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t>吉林省财政厅行政事业性收费项目</w:t>
      </w:r>
    </w:p>
    <w:bookmarkEnd w:id="0"/>
    <w:p>
      <w:pPr>
        <w:keepNext w:val="0"/>
        <w:keepLines w:val="0"/>
        <w:widowControl/>
        <w:suppressLineNumbers w:val="0"/>
        <w:shd w:val="clear" w:fill="FFFFFF"/>
        <w:spacing w:before="100" w:beforeAutospacing="0" w:after="100" w:afterAutospacing="0" w:line="560" w:lineRule="atLeast"/>
        <w:ind w:left="0" w:right="0" w:firstLine="640"/>
        <w:jc w:val="left"/>
        <w:rPr>
          <w:rFonts w:hint="eastAsia" w:ascii="宋体" w:hAnsi="宋体" w:eastAsia="宋体" w:cs="宋体"/>
          <w:i w:val="0"/>
          <w:caps w:val="0"/>
          <w:color w:val="000000"/>
          <w:spacing w:val="0"/>
          <w:sz w:val="21"/>
          <w:szCs w:val="21"/>
        </w:rPr>
      </w:pPr>
      <w:r>
        <w:rPr>
          <w:rFonts w:ascii="仿宋_GB2312" w:hAnsi="宋体" w:eastAsia="仿宋_GB2312" w:cs="仿宋_GB2312"/>
          <w:i w:val="0"/>
          <w:caps w:val="0"/>
          <w:color w:val="000000"/>
          <w:spacing w:val="0"/>
          <w:kern w:val="0"/>
          <w:sz w:val="32"/>
          <w:szCs w:val="32"/>
          <w:shd w:val="clear" w:fill="FFFFFF"/>
          <w:lang w:val="en-US" w:eastAsia="zh-CN" w:bidi="ar"/>
        </w:rPr>
        <w:t>省财政厅执收的行政事业性收费项目及其依据、标准具体如下：</w:t>
      </w:r>
    </w:p>
    <w:p>
      <w:pPr>
        <w:keepNext w:val="0"/>
        <w:keepLines w:val="0"/>
        <w:widowControl/>
        <w:suppressLineNumbers w:val="0"/>
        <w:shd w:val="clear" w:fill="FFFFFF"/>
        <w:spacing w:before="100" w:beforeAutospacing="0" w:after="10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一、财政票据工本费。收费依据：《财政部 中国人民银行关于将部分行政事业性收费纳入预算管理的通知》（财预〔</w:t>
      </w:r>
      <w:r>
        <w:rPr>
          <w:rFonts w:hint="eastAsia" w:ascii="宋体" w:hAnsi="宋体" w:eastAsia="宋体" w:cs="宋体"/>
          <w:i w:val="0"/>
          <w:caps w:val="0"/>
          <w:color w:val="000000"/>
          <w:spacing w:val="0"/>
          <w:kern w:val="0"/>
          <w:sz w:val="32"/>
          <w:szCs w:val="32"/>
          <w:shd w:val="clear" w:fill="FFFFFF"/>
          <w:lang w:val="en-US" w:eastAsia="zh-CN" w:bidi="ar"/>
        </w:rPr>
        <w:t>2002</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584</w:t>
      </w:r>
      <w:r>
        <w:rPr>
          <w:rFonts w:hint="eastAsia" w:ascii="仿宋_GB2312" w:hAnsi="宋体" w:eastAsia="仿宋_GB2312" w:cs="仿宋_GB2312"/>
          <w:i w:val="0"/>
          <w:caps w:val="0"/>
          <w:color w:val="000000"/>
          <w:spacing w:val="0"/>
          <w:kern w:val="0"/>
          <w:sz w:val="32"/>
          <w:szCs w:val="32"/>
          <w:shd w:val="clear" w:fill="FFFFFF"/>
          <w:lang w:val="en-US" w:eastAsia="zh-CN" w:bidi="ar"/>
        </w:rPr>
        <w:t>号）、《吉林省财政厅关于免收省本级部分财政票据工本费的通知》（吉财非税〔</w:t>
      </w:r>
      <w:r>
        <w:rPr>
          <w:rFonts w:hint="eastAsia" w:ascii="宋体" w:hAnsi="宋体" w:eastAsia="宋体" w:cs="宋体"/>
          <w:i w:val="0"/>
          <w:caps w:val="0"/>
          <w:color w:val="000000"/>
          <w:spacing w:val="0"/>
          <w:kern w:val="0"/>
          <w:sz w:val="32"/>
          <w:szCs w:val="32"/>
          <w:shd w:val="clear" w:fill="FFFFFF"/>
          <w:lang w:val="en-US" w:eastAsia="zh-CN" w:bidi="ar"/>
        </w:rPr>
        <w:t>2014</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658</w:t>
      </w:r>
      <w:r>
        <w:rPr>
          <w:rFonts w:hint="eastAsia" w:ascii="仿宋_GB2312" w:hAnsi="宋体" w:eastAsia="仿宋_GB2312" w:cs="仿宋_GB2312"/>
          <w:i w:val="0"/>
          <w:caps w:val="0"/>
          <w:color w:val="000000"/>
          <w:spacing w:val="0"/>
          <w:kern w:val="0"/>
          <w:sz w:val="32"/>
          <w:szCs w:val="32"/>
          <w:shd w:val="clear" w:fill="FFFFFF"/>
          <w:lang w:val="en-US" w:eastAsia="zh-CN" w:bidi="ar"/>
        </w:rPr>
        <w:t>号）等。收费标准按照《吉林省发展改革委关于重新核定吉林省财政票据工本费收费标准的函》（吉发改收费函〔</w:t>
      </w:r>
      <w:r>
        <w:rPr>
          <w:rFonts w:hint="eastAsia" w:ascii="宋体" w:hAnsi="宋体" w:eastAsia="宋体" w:cs="宋体"/>
          <w:i w:val="0"/>
          <w:caps w:val="0"/>
          <w:color w:val="000000"/>
          <w:spacing w:val="0"/>
          <w:kern w:val="0"/>
          <w:sz w:val="32"/>
          <w:szCs w:val="32"/>
          <w:shd w:val="clear" w:fill="FFFFFF"/>
          <w:lang w:val="en-US" w:eastAsia="zh-CN" w:bidi="ar"/>
        </w:rPr>
        <w:t>2019</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10</w:t>
      </w:r>
      <w:r>
        <w:rPr>
          <w:rFonts w:hint="eastAsia" w:ascii="仿宋_GB2312" w:hAnsi="宋体" w:eastAsia="仿宋_GB2312" w:cs="仿宋_GB2312"/>
          <w:i w:val="0"/>
          <w:caps w:val="0"/>
          <w:color w:val="000000"/>
          <w:spacing w:val="0"/>
          <w:kern w:val="0"/>
          <w:sz w:val="32"/>
          <w:szCs w:val="32"/>
          <w:shd w:val="clear" w:fill="FFFFFF"/>
          <w:lang w:val="en-US" w:eastAsia="zh-CN" w:bidi="ar"/>
        </w:rPr>
        <w:t>号）执行，具体标准详见附件。</w:t>
      </w:r>
    </w:p>
    <w:p>
      <w:pPr>
        <w:keepNext w:val="0"/>
        <w:keepLines w:val="0"/>
        <w:widowControl/>
        <w:suppressLineNumbers w:val="0"/>
        <w:shd w:val="clear" w:fill="FFFFFF"/>
        <w:spacing w:before="100" w:beforeAutospacing="0" w:after="10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二、会计专业技术资格考试费。收费依据：《国家物价局 财政部关于会计专业技术资格考试收费的通知》（价费字〔</w:t>
      </w:r>
      <w:r>
        <w:rPr>
          <w:rFonts w:hint="eastAsia" w:ascii="宋体" w:hAnsi="宋体" w:eastAsia="宋体" w:cs="宋体"/>
          <w:i w:val="0"/>
          <w:caps w:val="0"/>
          <w:color w:val="000000"/>
          <w:spacing w:val="0"/>
          <w:kern w:val="0"/>
          <w:sz w:val="32"/>
          <w:szCs w:val="32"/>
          <w:shd w:val="clear" w:fill="FFFFFF"/>
          <w:lang w:val="en-US" w:eastAsia="zh-CN" w:bidi="ar"/>
        </w:rPr>
        <w:t>1992</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333</w:t>
      </w:r>
      <w:r>
        <w:rPr>
          <w:rFonts w:hint="eastAsia" w:ascii="仿宋_GB2312" w:hAnsi="宋体" w:eastAsia="仿宋_GB2312" w:cs="仿宋_GB2312"/>
          <w:i w:val="0"/>
          <w:caps w:val="0"/>
          <w:color w:val="000000"/>
          <w:spacing w:val="0"/>
          <w:kern w:val="0"/>
          <w:sz w:val="32"/>
          <w:szCs w:val="32"/>
          <w:shd w:val="clear" w:fill="FFFFFF"/>
          <w:lang w:val="en-US" w:eastAsia="zh-CN" w:bidi="ar"/>
        </w:rPr>
        <w:t>号）。收费标准按照《吉林省物价局关于会计专业技术资格考试收费标准的通知》（吉省价收〔</w:t>
      </w:r>
      <w:r>
        <w:rPr>
          <w:rFonts w:hint="eastAsia" w:ascii="宋体" w:hAnsi="宋体" w:eastAsia="宋体" w:cs="宋体"/>
          <w:i w:val="0"/>
          <w:caps w:val="0"/>
          <w:color w:val="000000"/>
          <w:spacing w:val="0"/>
          <w:kern w:val="0"/>
          <w:sz w:val="32"/>
          <w:szCs w:val="32"/>
          <w:shd w:val="clear" w:fill="FFFFFF"/>
          <w:lang w:val="en-US" w:eastAsia="zh-CN" w:bidi="ar"/>
        </w:rPr>
        <w:t>2017</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233</w:t>
      </w:r>
      <w:r>
        <w:rPr>
          <w:rFonts w:hint="eastAsia" w:ascii="仿宋_GB2312" w:hAnsi="宋体" w:eastAsia="仿宋_GB2312" w:cs="仿宋_GB2312"/>
          <w:i w:val="0"/>
          <w:caps w:val="0"/>
          <w:color w:val="000000"/>
          <w:spacing w:val="0"/>
          <w:kern w:val="0"/>
          <w:sz w:val="32"/>
          <w:szCs w:val="32"/>
          <w:shd w:val="clear" w:fill="FFFFFF"/>
          <w:lang w:val="en-US" w:eastAsia="zh-CN" w:bidi="ar"/>
        </w:rPr>
        <w:t>号）执行，初级（共</w:t>
      </w:r>
      <w:r>
        <w:rPr>
          <w:rFonts w:hint="eastAsia" w:ascii="宋体" w:hAnsi="宋体" w:eastAsia="宋体" w:cs="宋体"/>
          <w:i w:val="0"/>
          <w:caps w:val="0"/>
          <w:color w:val="000000"/>
          <w:spacing w:val="0"/>
          <w:kern w:val="0"/>
          <w:sz w:val="32"/>
          <w:szCs w:val="32"/>
          <w:shd w:val="clear" w:fill="FFFFFF"/>
          <w:lang w:val="en-US" w:eastAsia="zh-CN" w:bidi="ar"/>
        </w:rPr>
        <w:t>2</w:t>
      </w:r>
      <w:r>
        <w:rPr>
          <w:rFonts w:hint="eastAsia" w:ascii="仿宋_GB2312" w:hAnsi="宋体" w:eastAsia="仿宋_GB2312" w:cs="仿宋_GB2312"/>
          <w:i w:val="0"/>
          <w:caps w:val="0"/>
          <w:color w:val="000000"/>
          <w:spacing w:val="0"/>
          <w:kern w:val="0"/>
          <w:sz w:val="32"/>
          <w:szCs w:val="32"/>
          <w:shd w:val="clear" w:fill="FFFFFF"/>
          <w:lang w:val="en-US" w:eastAsia="zh-CN" w:bidi="ar"/>
        </w:rPr>
        <w:t>科）、中级（共</w:t>
      </w:r>
      <w:r>
        <w:rPr>
          <w:rFonts w:hint="eastAsia" w:ascii="宋体" w:hAnsi="宋体" w:eastAsia="宋体" w:cs="宋体"/>
          <w:i w:val="0"/>
          <w:caps w:val="0"/>
          <w:color w:val="000000"/>
          <w:spacing w:val="0"/>
          <w:kern w:val="0"/>
          <w:sz w:val="32"/>
          <w:szCs w:val="32"/>
          <w:shd w:val="clear" w:fill="FFFFFF"/>
          <w:lang w:val="en-US" w:eastAsia="zh-CN" w:bidi="ar"/>
        </w:rPr>
        <w:t>3</w:t>
      </w:r>
      <w:r>
        <w:rPr>
          <w:rFonts w:hint="eastAsia" w:ascii="仿宋_GB2312" w:hAnsi="宋体" w:eastAsia="仿宋_GB2312" w:cs="仿宋_GB2312"/>
          <w:i w:val="0"/>
          <w:caps w:val="0"/>
          <w:color w:val="000000"/>
          <w:spacing w:val="0"/>
          <w:kern w:val="0"/>
          <w:sz w:val="32"/>
          <w:szCs w:val="32"/>
          <w:shd w:val="clear" w:fill="FFFFFF"/>
          <w:lang w:val="en-US" w:eastAsia="zh-CN" w:bidi="ar"/>
        </w:rPr>
        <w:t>科）每人每科</w:t>
      </w:r>
      <w:r>
        <w:rPr>
          <w:rFonts w:hint="eastAsia" w:ascii="宋体" w:hAnsi="宋体" w:eastAsia="宋体" w:cs="宋体"/>
          <w:i w:val="0"/>
          <w:caps w:val="0"/>
          <w:color w:val="000000"/>
          <w:spacing w:val="0"/>
          <w:kern w:val="0"/>
          <w:sz w:val="32"/>
          <w:szCs w:val="32"/>
          <w:shd w:val="clear" w:fill="FFFFFF"/>
          <w:lang w:val="en-US" w:eastAsia="zh-CN" w:bidi="ar"/>
        </w:rPr>
        <w:t>50</w:t>
      </w:r>
      <w:r>
        <w:rPr>
          <w:rFonts w:hint="eastAsia" w:ascii="仿宋_GB2312" w:hAnsi="宋体" w:eastAsia="仿宋_GB2312" w:cs="仿宋_GB2312"/>
          <w:i w:val="0"/>
          <w:caps w:val="0"/>
          <w:color w:val="000000"/>
          <w:spacing w:val="0"/>
          <w:kern w:val="0"/>
          <w:sz w:val="32"/>
          <w:szCs w:val="32"/>
          <w:shd w:val="clear" w:fill="FFFFFF"/>
          <w:lang w:val="en-US" w:eastAsia="zh-CN" w:bidi="ar"/>
        </w:rPr>
        <w:t>元，高级（共</w:t>
      </w:r>
      <w:r>
        <w:rPr>
          <w:rFonts w:hint="eastAsia" w:ascii="宋体" w:hAnsi="宋体" w:eastAsia="宋体" w:cs="宋体"/>
          <w:i w:val="0"/>
          <w:caps w:val="0"/>
          <w:color w:val="000000"/>
          <w:spacing w:val="0"/>
          <w:kern w:val="0"/>
          <w:sz w:val="32"/>
          <w:szCs w:val="32"/>
          <w:shd w:val="clear" w:fill="FFFFFF"/>
          <w:lang w:val="en-US" w:eastAsia="zh-CN" w:bidi="ar"/>
        </w:rPr>
        <w:t>1</w:t>
      </w:r>
      <w:r>
        <w:rPr>
          <w:rFonts w:hint="eastAsia" w:ascii="仿宋_GB2312" w:hAnsi="宋体" w:eastAsia="仿宋_GB2312" w:cs="仿宋_GB2312"/>
          <w:i w:val="0"/>
          <w:caps w:val="0"/>
          <w:color w:val="000000"/>
          <w:spacing w:val="0"/>
          <w:kern w:val="0"/>
          <w:sz w:val="32"/>
          <w:szCs w:val="32"/>
          <w:shd w:val="clear" w:fill="FFFFFF"/>
          <w:lang w:val="en-US" w:eastAsia="zh-CN" w:bidi="ar"/>
        </w:rPr>
        <w:t>科）每人每科</w:t>
      </w:r>
      <w:r>
        <w:rPr>
          <w:rFonts w:hint="eastAsia" w:ascii="宋体" w:hAnsi="宋体" w:eastAsia="宋体" w:cs="宋体"/>
          <w:i w:val="0"/>
          <w:caps w:val="0"/>
          <w:color w:val="000000"/>
          <w:spacing w:val="0"/>
          <w:kern w:val="0"/>
          <w:sz w:val="32"/>
          <w:szCs w:val="32"/>
          <w:shd w:val="clear" w:fill="FFFFFF"/>
          <w:lang w:val="en-US" w:eastAsia="zh-CN" w:bidi="ar"/>
        </w:rPr>
        <w:t>58</w:t>
      </w:r>
      <w:r>
        <w:rPr>
          <w:rFonts w:hint="eastAsia" w:ascii="仿宋_GB2312" w:hAnsi="宋体" w:eastAsia="仿宋_GB2312" w:cs="仿宋_GB2312"/>
          <w:i w:val="0"/>
          <w:caps w:val="0"/>
          <w:color w:val="000000"/>
          <w:spacing w:val="0"/>
          <w:kern w:val="0"/>
          <w:sz w:val="32"/>
          <w:szCs w:val="32"/>
          <w:shd w:val="clear" w:fill="FFFFFF"/>
          <w:lang w:val="en-US" w:eastAsia="zh-CN" w:bidi="ar"/>
        </w:rPr>
        <w:t>元。</w:t>
      </w:r>
    </w:p>
    <w:p>
      <w:pPr>
        <w:keepNext w:val="0"/>
        <w:keepLines w:val="0"/>
        <w:widowControl/>
        <w:suppressLineNumbers w:val="0"/>
        <w:shd w:val="clear" w:fill="FFFFFF"/>
        <w:spacing w:before="100" w:beforeAutospacing="0" w:after="100" w:afterAutospacing="0" w:line="560" w:lineRule="atLeast"/>
        <w:ind w:left="640" w:right="0" w:firstLine="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附件：吉林省财政票据工本费标准明细表</w:t>
      </w:r>
    </w:p>
    <w:p>
      <w:pPr>
        <w:keepNext w:val="0"/>
        <w:keepLines w:val="0"/>
        <w:widowControl/>
        <w:suppressLineNumbers w:val="0"/>
        <w:shd w:val="clear" w:fill="FFFFFF"/>
        <w:spacing w:before="100" w:beforeAutospacing="0" w:after="100" w:afterAutospacing="0" w:line="560" w:lineRule="atLeast"/>
        <w:ind w:left="0" w:right="0" w:firstLine="640"/>
        <w:jc w:val="left"/>
        <w:rPr>
          <w:rFonts w:hint="eastAsia" w:ascii="宋体" w:hAnsi="宋体" w:eastAsia="宋体" w:cs="宋体"/>
          <w:i w:val="0"/>
          <w:caps w:val="0"/>
          <w:color w:val="000000"/>
          <w:spacing w:val="0"/>
          <w:sz w:val="21"/>
          <w:szCs w:val="21"/>
        </w:rPr>
      </w:pPr>
      <w:r>
        <w:rPr>
          <w:rFonts w:ascii="Calibri" w:hAnsi="Calibri" w:eastAsia="宋体" w:cs="Calibri"/>
          <w:i w:val="0"/>
          <w:caps w:val="0"/>
          <w:color w:val="000000"/>
          <w:spacing w:val="0"/>
          <w:kern w:val="0"/>
          <w:sz w:val="32"/>
          <w:szCs w:val="32"/>
          <w:shd w:val="clear" w:fill="FFFFFF"/>
          <w:lang w:val="en-US" w:eastAsia="zh-CN" w:bidi="ar"/>
        </w:rPr>
        <w:t> </w:t>
      </w:r>
    </w:p>
    <w:p>
      <w:pPr>
        <w:rPr>
          <w:rFonts w:hint="eastAsia" w:eastAsiaTheme="minorEastAsia"/>
          <w:lang w:eastAsia="zh-CN"/>
        </w:rPr>
      </w:pPr>
      <w:r>
        <w:rPr>
          <w:rFonts w:hint="eastAsia" w:eastAsiaTheme="minorEastAsia"/>
          <w:lang w:eastAsia="zh-CN"/>
        </w:rPr>
        <w:drawing>
          <wp:inline distT="0" distB="0" distL="114300" distR="114300">
            <wp:extent cx="5268595" cy="8310245"/>
            <wp:effectExtent l="0" t="0" r="8255" b="14605"/>
            <wp:docPr id="2" name="图片 2" descr="W02020070944576022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20200709445760221123"/>
                    <pic:cNvPicPr>
                      <a:picLocks noChangeAspect="1"/>
                    </pic:cNvPicPr>
                  </pic:nvPicPr>
                  <pic:blipFill>
                    <a:blip r:embed="rId4"/>
                    <a:stretch>
                      <a:fillRect/>
                    </a:stretch>
                  </pic:blipFill>
                  <pic:spPr>
                    <a:xfrm>
                      <a:off x="0" y="0"/>
                      <a:ext cx="5268595" cy="83102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C95C5A"/>
    <w:rsid w:val="7DD126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2021-04-12T03:05:24Z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